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80945">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附件</w:t>
      </w:r>
      <w:r>
        <w:rPr>
          <w:rFonts w:hint="eastAsia" w:ascii="Times New Roman" w:hAnsi="Times New Roman" w:eastAsia="方正黑体简体" w:cs="Times New Roman"/>
          <w:sz w:val="32"/>
          <w:szCs w:val="32"/>
          <w:lang w:val="en-US" w:eastAsia="zh-CN"/>
        </w:rPr>
        <w:t>9</w:t>
      </w:r>
    </w:p>
    <w:p w14:paraId="55F94EC2">
      <w:pPr>
        <w:keepNext w:val="0"/>
        <w:keepLines w:val="0"/>
        <w:pageBreakBefore w:val="0"/>
        <w:widowControl w:val="0"/>
        <w:kinsoku/>
        <w:wordWrap/>
        <w:overflowPunct/>
        <w:topLinePunct w:val="0"/>
        <w:autoSpaceDE/>
        <w:autoSpaceDN/>
        <w:bidi w:val="0"/>
        <w:spacing w:before="120" w:beforeLines="50" w:after="120" w:afterLines="50" w:line="578" w:lineRule="exact"/>
        <w:jc w:val="center"/>
        <w:textAlignment w:val="auto"/>
        <w:rPr>
          <w:rFonts w:hint="eastAsia" w:ascii="Times New Roman" w:hAnsi="Times New Roman" w:eastAsia="方正小标宋简体"/>
          <w:sz w:val="44"/>
          <w:szCs w:val="44"/>
        </w:rPr>
      </w:pPr>
      <w:r>
        <w:rPr>
          <w:rFonts w:hint="eastAsia" w:ascii="Times New Roman" w:hAnsi="Times New Roman" w:eastAsia="方正小标宋简体"/>
          <w:sz w:val="44"/>
          <w:szCs w:val="44"/>
          <w:lang w:val="en-US" w:eastAsia="zh-CN"/>
        </w:rPr>
        <w:t xml:space="preserve"> </w:t>
      </w:r>
      <w:r>
        <w:rPr>
          <w:rFonts w:hint="eastAsia" w:ascii="Times New Roman" w:hAnsi="Times New Roman" w:eastAsia="方正小标宋简体"/>
          <w:sz w:val="44"/>
          <w:szCs w:val="44"/>
          <w:lang w:eastAsia="zh-CN"/>
        </w:rPr>
        <w:t>达州市通川</w:t>
      </w:r>
      <w:bookmarkStart w:id="0" w:name="_GoBack"/>
      <w:bookmarkEnd w:id="0"/>
      <w:r>
        <w:rPr>
          <w:rFonts w:hint="eastAsia" w:ascii="Times New Roman" w:hAnsi="Times New Roman" w:eastAsia="方正小标宋简体"/>
          <w:sz w:val="44"/>
          <w:szCs w:val="44"/>
          <w:lang w:eastAsia="zh-CN"/>
        </w:rPr>
        <w:t>区双龙镇</w:t>
      </w:r>
      <w:r>
        <w:rPr>
          <w:rFonts w:hint="eastAsia" w:ascii="Times New Roman" w:hAnsi="Times New Roman" w:eastAsia="方正小标宋简体"/>
          <w:sz w:val="44"/>
          <w:szCs w:val="44"/>
          <w:lang w:val="en-US" w:eastAsia="zh-CN"/>
        </w:rPr>
        <w:t>人民政府</w:t>
      </w:r>
      <w:r>
        <w:rPr>
          <w:rFonts w:ascii="Times New Roman" w:hAnsi="Times New Roman" w:eastAsia="方正小标宋简体"/>
          <w:sz w:val="44"/>
          <w:szCs w:val="44"/>
        </w:rPr>
        <w:t>行政执法事项目录清单</w:t>
      </w:r>
    </w:p>
    <w:tbl>
      <w:tblPr>
        <w:tblStyle w:val="7"/>
        <w:tblW w:w="14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5"/>
        <w:gridCol w:w="5480"/>
        <w:gridCol w:w="1600"/>
        <w:gridCol w:w="3520"/>
        <w:gridCol w:w="1187"/>
        <w:gridCol w:w="1053"/>
        <w:gridCol w:w="740"/>
      </w:tblGrid>
      <w:tr w14:paraId="4135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jc w:val="center"/>
        </w:trPr>
        <w:tc>
          <w:tcPr>
            <w:tcW w:w="595" w:type="dxa"/>
            <w:noWrap w:val="0"/>
            <w:vAlign w:val="center"/>
          </w:tcPr>
          <w:p w14:paraId="443B7A1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序号</w:t>
            </w:r>
          </w:p>
        </w:tc>
        <w:tc>
          <w:tcPr>
            <w:tcW w:w="5480" w:type="dxa"/>
            <w:noWrap w:val="0"/>
            <w:vAlign w:val="center"/>
          </w:tcPr>
          <w:p w14:paraId="2BBF8BE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事项名称</w:t>
            </w:r>
          </w:p>
        </w:tc>
        <w:tc>
          <w:tcPr>
            <w:tcW w:w="1600" w:type="dxa"/>
            <w:noWrap w:val="0"/>
            <w:vAlign w:val="center"/>
          </w:tcPr>
          <w:p w14:paraId="1EC8AEF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事项类型</w:t>
            </w:r>
          </w:p>
        </w:tc>
        <w:tc>
          <w:tcPr>
            <w:tcW w:w="3520" w:type="dxa"/>
            <w:noWrap w:val="0"/>
            <w:vAlign w:val="center"/>
          </w:tcPr>
          <w:p w14:paraId="7E77D89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执法依据</w:t>
            </w:r>
          </w:p>
        </w:tc>
        <w:tc>
          <w:tcPr>
            <w:tcW w:w="1187" w:type="dxa"/>
            <w:noWrap w:val="0"/>
            <w:vAlign w:val="center"/>
          </w:tcPr>
          <w:p w14:paraId="7CFA49E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责任主体</w:t>
            </w:r>
          </w:p>
        </w:tc>
        <w:tc>
          <w:tcPr>
            <w:tcW w:w="1053" w:type="dxa"/>
            <w:noWrap w:val="0"/>
            <w:vAlign w:val="center"/>
          </w:tcPr>
          <w:p w14:paraId="3C6AB57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实施主体</w:t>
            </w:r>
          </w:p>
        </w:tc>
        <w:tc>
          <w:tcPr>
            <w:tcW w:w="740" w:type="dxa"/>
            <w:noWrap w:val="0"/>
            <w:vAlign w:val="center"/>
          </w:tcPr>
          <w:p w14:paraId="203F0AC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备注</w:t>
            </w:r>
          </w:p>
        </w:tc>
      </w:tr>
      <w:tr w14:paraId="6719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3" w:hRule="atLeast"/>
          <w:jc w:val="center"/>
        </w:trPr>
        <w:tc>
          <w:tcPr>
            <w:tcW w:w="595" w:type="dxa"/>
            <w:noWrap w:val="0"/>
            <w:vAlign w:val="center"/>
          </w:tcPr>
          <w:p w14:paraId="28BC34B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3C49576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pacing w:val="-6"/>
                <w:sz w:val="24"/>
                <w:szCs w:val="24"/>
                <w:highlight w:val="none"/>
                <w:u w:val="none"/>
              </w:rPr>
              <w:t>对在城市、镇和乡、村规划区内未经批准进行临时建设的、未按批准用途进行临时建设的、临时建设超过批准规定期限不拆除的、建设单位或者个人改变经批准的临时建（构）筑物使用性质或者转让、出租、抵押等的处罚</w:t>
            </w:r>
          </w:p>
        </w:tc>
        <w:tc>
          <w:tcPr>
            <w:tcW w:w="1600" w:type="dxa"/>
            <w:noWrap w:val="0"/>
            <w:vAlign w:val="center"/>
          </w:tcPr>
          <w:p w14:paraId="5233E742">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49F45577">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b w:val="0"/>
                <w:color w:val="auto"/>
                <w:sz w:val="24"/>
                <w:szCs w:val="24"/>
                <w:highlight w:val="none"/>
                <w:u w:val="none"/>
              </w:rPr>
              <w:t>《四川省城乡规划条例》第八十四条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城市、镇和乡、村规划区内未经批准进行临时建设的、未按批准用途进行临时建设的、临时建设超过批准规定期限不拆除的、建设单位或者个人改变经批准的临时建（构）筑物使用性质或者转让、出租、抵押等的，由所在地城市、县人民政府城乡规划主管部门或者镇、乡人民政府责令限期拆除，可以并处临时建设工程造价一倍以下的罚款。</w:t>
            </w:r>
          </w:p>
        </w:tc>
        <w:tc>
          <w:tcPr>
            <w:tcW w:w="1187" w:type="dxa"/>
            <w:noWrap w:val="0"/>
            <w:vAlign w:val="center"/>
          </w:tcPr>
          <w:p w14:paraId="2D5D0FA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noWrap w:val="0"/>
            <w:vAlign w:val="center"/>
          </w:tcPr>
          <w:p w14:paraId="685B40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双龙镇人民政府</w:t>
            </w:r>
          </w:p>
        </w:tc>
        <w:tc>
          <w:tcPr>
            <w:tcW w:w="740" w:type="dxa"/>
            <w:noWrap w:val="0"/>
            <w:vAlign w:val="center"/>
          </w:tcPr>
          <w:p w14:paraId="079B7E2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1E7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595" w:type="dxa"/>
            <w:noWrap w:val="0"/>
            <w:vAlign w:val="center"/>
          </w:tcPr>
          <w:p w14:paraId="2BED627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AD85F6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highlight w:val="none"/>
                <w:u w:val="none"/>
              </w:rPr>
              <w:t>对在村庄、集镇规划区内，村民未经批准或者违反村镇规划修建住宅的处罚</w:t>
            </w:r>
          </w:p>
        </w:tc>
        <w:tc>
          <w:tcPr>
            <w:tcW w:w="1600" w:type="dxa"/>
            <w:noWrap w:val="0"/>
            <w:vAlign w:val="center"/>
          </w:tcPr>
          <w:p w14:paraId="63921C9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4BF375B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default" w:ascii="Times New Roman" w:hAnsi="Times New Roman" w:eastAsia="方正仿宋简体" w:cs="Times New Roman"/>
                <w:b w:val="0"/>
                <w:color w:val="auto"/>
                <w:sz w:val="24"/>
                <w:szCs w:val="24"/>
                <w:highlight w:val="none"/>
                <w:u w:val="none"/>
              </w:rPr>
              <w:t>《村庄和集镇规划建设管理条例》第三十七条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村庄、集镇规划区内，未按规划审批程序批准或者违反规划的规定进行建设，严重影响村庄、集镇规划的，由县级人民政府建设行政主管部门责令停止建设，限期拆除或者没收违法建筑物、构筑物和其他设施；影响村庄、集镇规划，尚可采取改正措施的，由县级人民政府建设行政主管部门责令限期改正，处以罚款。农村居民未经批准或者违反规划的规定建住宅的，乡级人民政府可以依照前款规定处罚。</w:t>
            </w:r>
          </w:p>
          <w:p w14:paraId="2C8FFCC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《四川省村镇规划建设管理条例》第四十四条第二款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村民未经批准或者违反村镇规划修建住宅的，由乡级人民政府责令其停止建设或者限期拆除；尚可采取措施的，责令其限期改正，并可对责任人处以五百元以下罚款。</w:t>
            </w:r>
          </w:p>
        </w:tc>
        <w:tc>
          <w:tcPr>
            <w:tcW w:w="1187" w:type="dxa"/>
            <w:noWrap w:val="0"/>
            <w:vAlign w:val="center"/>
          </w:tcPr>
          <w:p w14:paraId="3182F1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noWrap w:val="0"/>
            <w:vAlign w:val="center"/>
          </w:tcPr>
          <w:p w14:paraId="351F5B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noWrap w:val="0"/>
            <w:vAlign w:val="center"/>
          </w:tcPr>
          <w:p w14:paraId="02266B8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3414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AADE19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668113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highlight w:val="none"/>
                <w:u w:val="none"/>
              </w:rPr>
              <w:t>对擅自在村庄、集镇规划区内的街道、广场、市场和车站等场所以及道路两旁修建临时建筑物、构筑物和其他设施的处罚</w:t>
            </w:r>
          </w:p>
        </w:tc>
        <w:tc>
          <w:tcPr>
            <w:tcW w:w="1600" w:type="dxa"/>
            <w:noWrap w:val="0"/>
            <w:vAlign w:val="center"/>
          </w:tcPr>
          <w:p w14:paraId="0ED90741">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6CFA1DC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default" w:ascii="Times New Roman" w:hAnsi="Times New Roman" w:eastAsia="方正仿宋简体" w:cs="Times New Roman"/>
                <w:b w:val="0"/>
                <w:color w:val="auto"/>
                <w:sz w:val="24"/>
                <w:szCs w:val="24"/>
                <w:highlight w:val="none"/>
                <w:u w:val="none"/>
              </w:rPr>
              <w:t>《村庄和集镇规划建设管理条例》第四十条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擅自在村庄、集镇规划区内的街道、广场、市场和车站等场所修建临时建筑物、构筑物和其他设施的，由乡级人民政府责令限期拆除，并可处以罚款。</w:t>
            </w:r>
          </w:p>
          <w:p w14:paraId="1655294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擅自在村镇规划区内广场、市场和车站等场所以及道路两旁修建临时建筑物、构筑物和其他设施的，由乡级人民政府责令限期拆除，并可处以五百元以下罚款。</w:t>
            </w:r>
          </w:p>
        </w:tc>
        <w:tc>
          <w:tcPr>
            <w:tcW w:w="1187" w:type="dxa"/>
            <w:noWrap w:val="0"/>
            <w:vAlign w:val="center"/>
          </w:tcPr>
          <w:p w14:paraId="3CC52E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双龙镇人民政府</w:t>
            </w:r>
          </w:p>
        </w:tc>
        <w:tc>
          <w:tcPr>
            <w:tcW w:w="1053" w:type="dxa"/>
            <w:noWrap w:val="0"/>
            <w:vAlign w:val="center"/>
          </w:tcPr>
          <w:p w14:paraId="5A0DB5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双龙镇人民政府</w:t>
            </w:r>
          </w:p>
        </w:tc>
        <w:tc>
          <w:tcPr>
            <w:tcW w:w="740" w:type="dxa"/>
            <w:noWrap w:val="0"/>
            <w:vAlign w:val="center"/>
          </w:tcPr>
          <w:p w14:paraId="76695163">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2C0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FEEA92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3BF5C46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对损坏村庄和集镇的房屋、公共设施；乱堆粪便、垃圾、柴草、杂物，破坏村容镇貌和环境卫生的处罚</w:t>
            </w:r>
          </w:p>
        </w:tc>
        <w:tc>
          <w:tcPr>
            <w:tcW w:w="1600" w:type="dxa"/>
            <w:noWrap w:val="0"/>
            <w:vAlign w:val="center"/>
          </w:tcPr>
          <w:p w14:paraId="372FA01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0CC03A1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《村庄和集镇规划建设管理条例》第三十九条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 xml:space="preserve">有下列行为之一的，由乡级人民政府责令停止侵害，可以处以罚款；造成损失的，并应当赔偿：（一）损坏村庄和集镇的房屋、公共设施的；（二）乱堆粪便、垃圾、柴草，破坏村容镇貌和环境卫生的。 </w:t>
            </w:r>
          </w:p>
          <w:p w14:paraId="4AA6F05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《四川省村镇规划建设管理条例》第四十六条</w:t>
            </w:r>
            <w:r>
              <w:rPr>
                <w:rFonts w:hint="default" w:ascii="Times New Roman" w:hAnsi="Times New Roman" w:eastAsia="方正仿宋简体" w:cs="Times New Roman"/>
                <w:color w:val="auto"/>
                <w:sz w:val="24"/>
                <w:szCs w:val="24"/>
                <w:highlight w:val="none"/>
                <w:u w:val="none"/>
              </w:rPr>
              <w:t xml:space="preserve"> 违反本条例规定，乱堆垃圾、粪便、杂物，影响村容镇貌和环境卫生的，由乡级人民政府责令停止侵害、恢复原状。损坏村镇公用基础设施的，除赔偿损失外，并由乡级人民政府处以直接损失金额一倍以下罚款。</w:t>
            </w:r>
          </w:p>
        </w:tc>
        <w:tc>
          <w:tcPr>
            <w:tcW w:w="1187" w:type="dxa"/>
            <w:noWrap w:val="0"/>
            <w:vAlign w:val="center"/>
          </w:tcPr>
          <w:p w14:paraId="114CC2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noWrap w:val="0"/>
            <w:vAlign w:val="center"/>
          </w:tcPr>
          <w:p w14:paraId="5B2AED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noWrap w:val="0"/>
            <w:vAlign w:val="center"/>
          </w:tcPr>
          <w:p w14:paraId="0E09127F">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6B3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0A48EB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29292ACB">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对自用船舶所有人拒不进行自用船舶登记或者自用船舶不按照限定区域航行；超载、非法载客和从事营业性运输的处罚</w:t>
            </w:r>
          </w:p>
        </w:tc>
        <w:tc>
          <w:tcPr>
            <w:tcW w:w="1600" w:type="dxa"/>
            <w:noWrap w:val="0"/>
            <w:vAlign w:val="center"/>
          </w:tcPr>
          <w:p w14:paraId="43B72EBB">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5E97D9E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 xml:space="preserve">《四川省水上交通安全管理条例》第五十九条第二款 </w:t>
            </w:r>
            <w:r>
              <w:rPr>
                <w:rFonts w:hint="default" w:ascii="Times New Roman" w:hAnsi="Times New Roman" w:eastAsia="方正仿宋简体" w:cs="Times New Roman"/>
                <w:color w:val="auto"/>
                <w:sz w:val="24"/>
                <w:szCs w:val="24"/>
                <w:highlight w:val="none"/>
                <w:u w:val="none"/>
              </w:rPr>
              <w:t>自用船舶所有人拒不进行自用船舶登记或者自用船舶不按照限定区域航行；超载、非法载客和从事营业性运输的，由乡（镇）人民政府责令其改正，并处以100元以上500元以下的罚款；情节严重的，可依法没收其船舶。</w:t>
            </w:r>
          </w:p>
        </w:tc>
        <w:tc>
          <w:tcPr>
            <w:tcW w:w="1187" w:type="dxa"/>
            <w:noWrap w:val="0"/>
            <w:vAlign w:val="center"/>
          </w:tcPr>
          <w:p w14:paraId="245A448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noWrap w:val="0"/>
            <w:vAlign w:val="center"/>
          </w:tcPr>
          <w:p w14:paraId="62CE18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noWrap w:val="0"/>
            <w:vAlign w:val="center"/>
          </w:tcPr>
          <w:p w14:paraId="40A7594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05B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41F5E697">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21B16B1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对单位和个人损坏或者擅自移动有钉螺地带警示标志的处罚</w:t>
            </w:r>
          </w:p>
        </w:tc>
        <w:tc>
          <w:tcPr>
            <w:tcW w:w="1600" w:type="dxa"/>
            <w:noWrap w:val="0"/>
            <w:vAlign w:val="center"/>
          </w:tcPr>
          <w:p w14:paraId="368BDBF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028635B2">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《血吸虫病防治条例》五十一条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单位和个人损坏或者擅自移动有钉螺地带警示标志的，由乡（镇）人民政府责令修复或赔偿损失，给予警告；情节严重的，对</w:t>
            </w:r>
            <w:r>
              <w:rPr>
                <w:rFonts w:hint="default" w:ascii="Times New Roman" w:hAnsi="Times New Roman" w:eastAsia="方正仿宋简体" w:cs="Times New Roman"/>
                <w:color w:val="auto"/>
                <w:spacing w:val="-6"/>
                <w:sz w:val="24"/>
                <w:szCs w:val="24"/>
                <w:highlight w:val="none"/>
                <w:u w:val="none"/>
              </w:rPr>
              <w:t>单位处1000元以上3000元以下的罚款；对个人处50元以上200元以下的罚款。</w:t>
            </w:r>
          </w:p>
        </w:tc>
        <w:tc>
          <w:tcPr>
            <w:tcW w:w="1187" w:type="dxa"/>
            <w:noWrap w:val="0"/>
            <w:vAlign w:val="center"/>
          </w:tcPr>
          <w:p w14:paraId="1BAD1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noWrap w:val="0"/>
            <w:vAlign w:val="center"/>
          </w:tcPr>
          <w:p w14:paraId="7128BE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noWrap w:val="0"/>
            <w:vAlign w:val="center"/>
          </w:tcPr>
          <w:p w14:paraId="309C44E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99B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320FE93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48AF7D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pacing w:val="-2"/>
                <w:sz w:val="24"/>
                <w:szCs w:val="24"/>
              </w:rPr>
              <w:t>对农村村民未经批准或者采取欺骗手段骗取批</w:t>
            </w:r>
            <w:r>
              <w:rPr>
                <w:rFonts w:hint="default" w:ascii="Times New Roman" w:hAnsi="Times New Roman" w:eastAsia="方正仿宋简体" w:cs="Times New Roman"/>
                <w:color w:val="auto"/>
                <w:spacing w:val="-6"/>
                <w:sz w:val="24"/>
                <w:szCs w:val="24"/>
              </w:rPr>
              <w:t>准，非法占用土地建住宅</w:t>
            </w:r>
            <w:r>
              <w:rPr>
                <w:rFonts w:hint="default" w:ascii="Times New Roman" w:hAnsi="Times New Roman" w:eastAsia="方正仿宋简体" w:cs="Times New Roman"/>
                <w:color w:val="auto"/>
                <w:spacing w:val="-3"/>
                <w:sz w:val="24"/>
                <w:szCs w:val="24"/>
              </w:rPr>
              <w:t>的行政处罚</w:t>
            </w:r>
          </w:p>
        </w:tc>
        <w:tc>
          <w:tcPr>
            <w:tcW w:w="1600" w:type="dxa"/>
            <w:noWrap w:val="0"/>
            <w:vAlign w:val="center"/>
          </w:tcPr>
          <w:p w14:paraId="377D2EB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091E35E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rPr>
            </w:pPr>
            <w:r>
              <w:rPr>
                <w:rFonts w:hint="default" w:ascii="Times New Roman" w:hAnsi="Times New Roman" w:eastAsia="方正仿宋简体" w:cs="Times New Roman"/>
                <w:color w:val="auto"/>
                <w:sz w:val="24"/>
                <w:szCs w:val="24"/>
              </w:rPr>
              <w:t>《中华人民共和国土地管理法》第七十八条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农村村民未经批准或者采取欺骗</w:t>
            </w:r>
            <w:r>
              <w:rPr>
                <w:rFonts w:hint="default" w:ascii="Times New Roman" w:hAnsi="Times New Roman" w:eastAsia="方正仿宋简体" w:cs="Times New Roman"/>
                <w:color w:val="auto"/>
                <w:spacing w:val="-1"/>
                <w:sz w:val="24"/>
                <w:szCs w:val="24"/>
              </w:rPr>
              <w:t>手段骗取批准，非法占用土地建住宅的，由</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县级以上人民政府农业农村主管部门责令退还非法</w:t>
            </w:r>
            <w:r>
              <w:rPr>
                <w:rFonts w:hint="default" w:ascii="Times New Roman" w:hAnsi="Times New Roman" w:eastAsia="方正仿宋简体" w:cs="Times New Roman"/>
                <w:color w:val="auto"/>
                <w:spacing w:val="-2"/>
                <w:sz w:val="24"/>
                <w:szCs w:val="24"/>
              </w:rPr>
              <w:t>占用的土地，限期拆除在非法占用的土地上新建的房屋。超过省、</w:t>
            </w:r>
            <w:r>
              <w:rPr>
                <w:rFonts w:hint="default" w:ascii="Times New Roman" w:hAnsi="Times New Roman" w:eastAsia="方正仿宋简体" w:cs="Times New Roman"/>
                <w:color w:val="auto"/>
                <w:spacing w:val="-39"/>
                <w:sz w:val="24"/>
                <w:szCs w:val="24"/>
              </w:rPr>
              <w:t xml:space="preserve"> </w:t>
            </w:r>
            <w:r>
              <w:rPr>
                <w:rFonts w:hint="default" w:ascii="Times New Roman" w:hAnsi="Times New Roman" w:eastAsia="方正仿宋简体" w:cs="Times New Roman"/>
                <w:color w:val="auto"/>
                <w:spacing w:val="-2"/>
                <w:sz w:val="24"/>
                <w:szCs w:val="24"/>
              </w:rPr>
              <w:t>自</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2"/>
                <w:sz w:val="24"/>
                <w:szCs w:val="24"/>
              </w:rPr>
              <w:t>治区、直辖市规定的标准，多</w:t>
            </w:r>
            <w:r>
              <w:rPr>
                <w:rFonts w:hint="default" w:ascii="Times New Roman" w:hAnsi="Times New Roman" w:eastAsia="方正仿宋简体" w:cs="Times New Roman"/>
                <w:color w:val="auto"/>
                <w:spacing w:val="-36"/>
                <w:sz w:val="24"/>
                <w:szCs w:val="24"/>
              </w:rPr>
              <w:t xml:space="preserve"> </w:t>
            </w:r>
            <w:r>
              <w:rPr>
                <w:rFonts w:hint="default" w:ascii="Times New Roman" w:hAnsi="Times New Roman" w:eastAsia="方正仿宋简体" w:cs="Times New Roman"/>
                <w:color w:val="auto"/>
                <w:spacing w:val="-2"/>
                <w:sz w:val="24"/>
                <w:szCs w:val="24"/>
              </w:rPr>
              <w:t>占的土地以非法占用</w:t>
            </w:r>
            <w:r>
              <w:rPr>
                <w:rFonts w:hint="default" w:ascii="Times New Roman" w:hAnsi="Times New Roman" w:eastAsia="方正仿宋简体" w:cs="Times New Roman"/>
                <w:color w:val="auto"/>
                <w:spacing w:val="-3"/>
                <w:sz w:val="24"/>
                <w:szCs w:val="24"/>
              </w:rPr>
              <w:t>土地论处。</w:t>
            </w:r>
          </w:p>
          <w:p w14:paraId="416FD07B">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《四川省&lt;中华人民共和国土地管理法&gt;实施办法》第七十四条　农村村民非法占用土地建住宅的行政处罚权，交由乡镇人民政府行使，跨行政区域和县级以上地方人民政府认为影响较大的案件除外。</w:t>
            </w:r>
            <w:r>
              <w:rPr>
                <w:rFonts w:hint="default" w:ascii="Times New Roman" w:hAnsi="Times New Roman" w:eastAsia="方正仿宋简体" w:cs="Times New Roman"/>
                <w:color w:val="auto"/>
                <w:spacing w:val="-1"/>
                <w:sz w:val="24"/>
                <w:szCs w:val="24"/>
                <w:lang w:val="en-US" w:eastAsia="zh-CN"/>
              </w:rPr>
              <w:t xml:space="preserve">   </w:t>
            </w:r>
          </w:p>
          <w:p w14:paraId="79DDBE0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号）中“特色清单”的行政处罚第</w:t>
            </w:r>
            <w:r>
              <w:rPr>
                <w:rFonts w:hint="default" w:ascii="Times New Roman" w:hAnsi="Times New Roman" w:eastAsia="方正仿宋简体" w:cs="Times New Roman"/>
                <w:color w:val="auto"/>
                <w:spacing w:val="-1"/>
                <w:sz w:val="24"/>
                <w:szCs w:val="24"/>
                <w:lang w:val="en-US" w:eastAsia="zh-CN"/>
              </w:rPr>
              <w:t>39项</w:t>
            </w:r>
          </w:p>
          <w:p w14:paraId="2C7166CB">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《四川达州市通川区双龙镇履行职责事项清单》中“</w:t>
            </w:r>
            <w:r>
              <w:rPr>
                <w:rFonts w:hint="eastAsia" w:ascii="Times New Roman" w:hAnsi="Times New Roman" w:eastAsia="方正仿宋简体" w:cs="Times New Roman"/>
                <w:color w:val="auto"/>
                <w:spacing w:val="-1"/>
                <w:sz w:val="24"/>
                <w:szCs w:val="24"/>
                <w:lang w:eastAsia="zh-CN"/>
              </w:rPr>
              <w:t>基本履职事项清单</w:t>
            </w:r>
            <w:r>
              <w:rPr>
                <w:rFonts w:hint="default" w:ascii="Times New Roman" w:hAnsi="Times New Roman" w:eastAsia="方正仿宋简体" w:cs="Times New Roman"/>
                <w:color w:val="auto"/>
                <w:spacing w:val="-1"/>
                <w:sz w:val="24"/>
                <w:szCs w:val="24"/>
                <w:lang w:eastAsia="zh-CN"/>
              </w:rPr>
              <w:t>”的第</w:t>
            </w:r>
            <w:r>
              <w:rPr>
                <w:rFonts w:hint="default" w:ascii="Times New Roman" w:hAnsi="Times New Roman" w:eastAsia="方正仿宋简体" w:cs="Times New Roman"/>
                <w:color w:val="auto"/>
                <w:spacing w:val="-1"/>
                <w:sz w:val="24"/>
                <w:szCs w:val="24"/>
                <w:lang w:val="en-US" w:eastAsia="zh-CN"/>
              </w:rPr>
              <w:t>70项</w:t>
            </w:r>
          </w:p>
        </w:tc>
        <w:tc>
          <w:tcPr>
            <w:tcW w:w="1187" w:type="dxa"/>
            <w:noWrap w:val="0"/>
            <w:vAlign w:val="center"/>
          </w:tcPr>
          <w:p w14:paraId="3E14F7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noWrap w:val="0"/>
            <w:vAlign w:val="center"/>
          </w:tcPr>
          <w:p w14:paraId="4B1034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noWrap w:val="0"/>
            <w:vAlign w:val="center"/>
          </w:tcPr>
          <w:p w14:paraId="122F750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331F6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11502B8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43535E9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6"/>
                <w:sz w:val="24"/>
                <w:szCs w:val="24"/>
                <w:highlight w:val="none"/>
              </w:rPr>
              <w:t>对使用拖拉机、联合收割</w:t>
            </w:r>
            <w:r>
              <w:rPr>
                <w:rFonts w:hint="default" w:ascii="Times New Roman" w:hAnsi="Times New Roman" w:eastAsia="方正仿宋简体" w:cs="Times New Roman"/>
                <w:color w:val="auto"/>
                <w:spacing w:val="-1"/>
                <w:sz w:val="24"/>
                <w:szCs w:val="24"/>
                <w:highlight w:val="none"/>
              </w:rPr>
              <w:t>机违反规定载人的行政</w:t>
            </w:r>
            <w:r>
              <w:rPr>
                <w:rFonts w:hint="default" w:ascii="Times New Roman" w:hAnsi="Times New Roman" w:eastAsia="方正仿宋简体" w:cs="Times New Roman"/>
                <w:color w:val="auto"/>
                <w:spacing w:val="-5"/>
                <w:sz w:val="24"/>
                <w:szCs w:val="24"/>
                <w:highlight w:val="none"/>
              </w:rPr>
              <w:t>处罚</w:t>
            </w:r>
          </w:p>
        </w:tc>
        <w:tc>
          <w:tcPr>
            <w:tcW w:w="1600" w:type="dxa"/>
            <w:noWrap w:val="0"/>
            <w:vAlign w:val="center"/>
          </w:tcPr>
          <w:p w14:paraId="657C99D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277DC191">
            <w:pPr>
              <w:pStyle w:val="8"/>
              <w:keepNext w:val="0"/>
              <w:keepLines w:val="0"/>
              <w:pageBreakBefore w:val="0"/>
              <w:wordWrap/>
              <w:overflowPunct/>
              <w:topLinePunct w:val="0"/>
              <w:bidi w:val="0"/>
              <w:spacing w:before="45" w:line="360" w:lineRule="exact"/>
              <w:ind w:right="27" w:firstLine="480" w:firstLineChars="200"/>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《中华人民共和国农业机械化促进法》第三十一条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农业机械驾驶、操</w:t>
            </w:r>
            <w:r>
              <w:rPr>
                <w:rFonts w:hint="default" w:ascii="Times New Roman" w:hAnsi="Times New Roman" w:eastAsia="方正仿宋简体" w:cs="Times New Roman"/>
                <w:color w:val="auto"/>
                <w:spacing w:val="-1"/>
                <w:sz w:val="24"/>
                <w:szCs w:val="24"/>
              </w:rPr>
              <w:t>作人员违反国家规定的安全操作规程，违章作业</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的，责令改正，依照有关法律、行政法规的规定予以处罚；构成犯罪的，依法追究刑事责任。</w:t>
            </w:r>
          </w:p>
          <w:p w14:paraId="12D2754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《农业机械安全监督管理条例》第五十四条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使用拖拉机、联合收割机违反规定载人的，</w:t>
            </w:r>
            <w:r>
              <w:rPr>
                <w:rFonts w:hint="default" w:ascii="Times New Roman" w:hAnsi="Times New Roman" w:eastAsia="方正仿宋简体" w:cs="Times New Roman"/>
                <w:color w:val="auto"/>
                <w:spacing w:val="-31"/>
                <w:sz w:val="24"/>
                <w:szCs w:val="24"/>
              </w:rPr>
              <w:t xml:space="preserve"> </w:t>
            </w:r>
            <w:r>
              <w:rPr>
                <w:rFonts w:hint="default" w:ascii="Times New Roman" w:hAnsi="Times New Roman" w:eastAsia="方正仿宋简体" w:cs="Times New Roman"/>
                <w:color w:val="auto"/>
                <w:spacing w:val="-1"/>
                <w:sz w:val="24"/>
                <w:szCs w:val="24"/>
              </w:rPr>
              <w:t>由县级以上地方人民政府农业</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机械化主管部门对违法行为人予以批评教育，责令改正；拒不改正的，扣押拖拉机、联合收割机的证书、牌照；情节严</w:t>
            </w:r>
            <w:r>
              <w:rPr>
                <w:rFonts w:hint="default" w:ascii="Times New Roman" w:hAnsi="Times New Roman" w:eastAsia="方正仿宋简体" w:cs="Times New Roman"/>
                <w:color w:val="auto"/>
                <w:spacing w:val="15"/>
                <w:sz w:val="24"/>
                <w:szCs w:val="24"/>
              </w:rPr>
              <w:t xml:space="preserve"> </w:t>
            </w:r>
            <w:r>
              <w:rPr>
                <w:rFonts w:hint="default" w:ascii="Times New Roman" w:hAnsi="Times New Roman" w:eastAsia="方正仿宋简体" w:cs="Times New Roman"/>
                <w:color w:val="auto"/>
                <w:spacing w:val="-1"/>
                <w:sz w:val="24"/>
                <w:szCs w:val="24"/>
              </w:rPr>
              <w:t>重的，</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吊销有关人员的操作证件。非法从事经营性道路旅客运输的，由交通</w:t>
            </w:r>
            <w:r>
              <w:rPr>
                <w:rFonts w:hint="default" w:ascii="Times New Roman" w:hAnsi="Times New Roman" w:eastAsia="方正仿宋简体" w:cs="Times New Roman"/>
                <w:color w:val="auto"/>
                <w:spacing w:val="-2"/>
                <w:sz w:val="24"/>
                <w:szCs w:val="24"/>
              </w:rPr>
              <w:t>主管部门依照道路运输管理法律、行政法规</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处罚。</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当事人改正违法行为的，应当及时退还扣押的拖拉机、联合收割机的</w:t>
            </w:r>
            <w:r>
              <w:rPr>
                <w:rFonts w:hint="default" w:ascii="Times New Roman" w:hAnsi="Times New Roman" w:eastAsia="方正仿宋简体" w:cs="Times New Roman"/>
                <w:color w:val="auto"/>
                <w:spacing w:val="-2"/>
                <w:sz w:val="24"/>
                <w:szCs w:val="24"/>
              </w:rPr>
              <w:t>证书、牌照。</w:t>
            </w:r>
          </w:p>
          <w:p w14:paraId="0C021A6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号）中“特色清单”的行政处罚第</w:t>
            </w:r>
            <w:r>
              <w:rPr>
                <w:rFonts w:hint="default" w:ascii="Times New Roman" w:hAnsi="Times New Roman" w:eastAsia="方正仿宋简体" w:cs="Times New Roman"/>
                <w:color w:val="auto"/>
                <w:spacing w:val="-1"/>
                <w:sz w:val="24"/>
                <w:szCs w:val="24"/>
                <w:lang w:val="en-US" w:eastAsia="zh-CN"/>
              </w:rPr>
              <w:t>31项</w:t>
            </w:r>
          </w:p>
        </w:tc>
        <w:tc>
          <w:tcPr>
            <w:tcW w:w="1187" w:type="dxa"/>
            <w:noWrap w:val="0"/>
            <w:vAlign w:val="center"/>
          </w:tcPr>
          <w:p w14:paraId="30A9638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noWrap w:val="0"/>
            <w:vAlign w:val="center"/>
          </w:tcPr>
          <w:p w14:paraId="0C26C9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noWrap w:val="0"/>
            <w:vAlign w:val="center"/>
          </w:tcPr>
          <w:p w14:paraId="5DD489F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r>
              <w:rPr>
                <w:rFonts w:hint="default" w:ascii="Times New Roman" w:hAnsi="Times New Roman" w:eastAsia="方正仿宋简体" w:cs="Times New Roman"/>
                <w:b w:val="0"/>
                <w:bCs w:val="0"/>
                <w:color w:val="auto"/>
                <w:sz w:val="24"/>
                <w:szCs w:val="24"/>
                <w:lang w:eastAsia="zh-CN"/>
              </w:rPr>
              <w:t>（不含“吊销有关 人员的操作证件”）</w:t>
            </w:r>
          </w:p>
        </w:tc>
      </w:tr>
      <w:tr w14:paraId="6B95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01A72B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52B00BCD">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对在依法划定的电力设施保护区内修建建筑物、构筑物或者种植植物、堆放物品，危及电力设施安全的强制拆除、砍伐或者清除</w:t>
            </w:r>
          </w:p>
        </w:tc>
        <w:tc>
          <w:tcPr>
            <w:tcW w:w="1600" w:type="dxa"/>
            <w:noWrap w:val="0"/>
            <w:vAlign w:val="center"/>
          </w:tcPr>
          <w:p w14:paraId="35DAD10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520" w:type="dxa"/>
            <w:noWrap w:val="0"/>
            <w:vAlign w:val="center"/>
          </w:tcPr>
          <w:p w14:paraId="37525F7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《中华人民共和国电力法》第六十九条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违反本法第五十三条规定，在依法划定的电力设施保护区内修建建筑物、构筑物或者种植植物、堆放物品，危及电力设施安全的，由当地人民政府责令强制拆除、砍伐或者清除。</w:t>
            </w:r>
          </w:p>
        </w:tc>
        <w:tc>
          <w:tcPr>
            <w:tcW w:w="1187" w:type="dxa"/>
            <w:noWrap w:val="0"/>
            <w:vAlign w:val="center"/>
          </w:tcPr>
          <w:p w14:paraId="2A2CB39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noWrap w:val="0"/>
            <w:vAlign w:val="center"/>
          </w:tcPr>
          <w:p w14:paraId="18CE28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noWrap w:val="0"/>
            <w:vAlign w:val="center"/>
          </w:tcPr>
          <w:p w14:paraId="60E40AF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5693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911C77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111E75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对非法种植毒品原植物的强制制止、铲除</w:t>
            </w:r>
          </w:p>
        </w:tc>
        <w:tc>
          <w:tcPr>
            <w:tcW w:w="1600" w:type="dxa"/>
            <w:noWrap w:val="0"/>
            <w:vAlign w:val="center"/>
          </w:tcPr>
          <w:p w14:paraId="536AD9B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520" w:type="dxa"/>
            <w:noWrap w:val="0"/>
            <w:vAlign w:val="center"/>
          </w:tcPr>
          <w:p w14:paraId="73F2D3F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《中华人民共和国禁毒法》第十九条第二款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地方各级人民政府发现非法种植毒品原植物的，应当立即采取措施予以制止、铲除。村民委员会、居民委员会发现非法</w:t>
            </w:r>
            <w:r>
              <w:rPr>
                <w:rFonts w:hint="default" w:ascii="Times New Roman" w:hAnsi="Times New Roman" w:eastAsia="方正仿宋简体" w:cs="Times New Roman"/>
                <w:color w:val="auto"/>
                <w:spacing w:val="-6"/>
                <w:sz w:val="24"/>
                <w:szCs w:val="24"/>
                <w:highlight w:val="none"/>
                <w:u w:val="none"/>
              </w:rPr>
              <w:t>种植毒品原植物的，应当及时予以制止、铲除，并向当地公安机关报告。</w:t>
            </w:r>
          </w:p>
        </w:tc>
        <w:tc>
          <w:tcPr>
            <w:tcW w:w="1187" w:type="dxa"/>
            <w:noWrap w:val="0"/>
            <w:vAlign w:val="center"/>
          </w:tcPr>
          <w:p w14:paraId="69C510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noWrap w:val="0"/>
            <w:vAlign w:val="center"/>
          </w:tcPr>
          <w:p w14:paraId="0C82A4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noWrap w:val="0"/>
            <w:vAlign w:val="center"/>
          </w:tcPr>
          <w:p w14:paraId="3EDF534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6C5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0DE15B5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0C6912E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0"/>
                <w:sz w:val="24"/>
                <w:szCs w:val="24"/>
                <w:highlight w:val="none"/>
              </w:rPr>
              <w:t>对受到地质灾害威胁且情况紧急时的强制避灾疏散</w:t>
            </w:r>
          </w:p>
        </w:tc>
        <w:tc>
          <w:tcPr>
            <w:tcW w:w="1600" w:type="dxa"/>
            <w:noWrap w:val="0"/>
            <w:vAlign w:val="center"/>
          </w:tcPr>
          <w:p w14:paraId="6179E2DD">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520" w:type="dxa"/>
            <w:noWrap w:val="0"/>
            <w:vAlign w:val="center"/>
          </w:tcPr>
          <w:p w14:paraId="387E2D5C">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《地质灾害防治条例》第二十九条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接到地质灾害险情报告的当地人民政府、基层群众自治组织应当根据实际情况，及时动员受到地质灾害威胁的居民以及其他人员转移到安全地带；情况紧急时，可以强行组织避灾疏散。</w:t>
            </w:r>
            <w:r>
              <w:rPr>
                <w:rFonts w:hint="default" w:ascii="Times New Roman" w:hAnsi="Times New Roman" w:eastAsia="方正仿宋简体" w:cs="Times New Roman"/>
                <w:b w:val="0"/>
                <w:color w:val="auto"/>
                <w:sz w:val="24"/>
                <w:szCs w:val="24"/>
                <w:highlight w:val="none"/>
                <w:u w:val="none"/>
              </w:rPr>
              <w:t xml:space="preserve"> </w:t>
            </w:r>
          </w:p>
        </w:tc>
        <w:tc>
          <w:tcPr>
            <w:tcW w:w="1187" w:type="dxa"/>
            <w:noWrap w:val="0"/>
            <w:vAlign w:val="center"/>
          </w:tcPr>
          <w:p w14:paraId="141336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noWrap w:val="0"/>
            <w:vAlign w:val="center"/>
          </w:tcPr>
          <w:p w14:paraId="31EA0C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noWrap w:val="0"/>
            <w:vAlign w:val="center"/>
          </w:tcPr>
          <w:p w14:paraId="2F8FE5A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8AF0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554862A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89A6752">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highlight w:val="none"/>
              </w:rPr>
            </w:pPr>
            <w:r>
              <w:rPr>
                <w:rFonts w:hint="default" w:ascii="Times New Roman" w:hAnsi="Times New Roman" w:eastAsia="方正仿宋简体" w:cs="Times New Roman"/>
                <w:color w:val="auto"/>
                <w:sz w:val="24"/>
                <w:szCs w:val="24"/>
                <w:highlight w:val="none"/>
                <w:u w:val="none"/>
              </w:rPr>
              <w:t>对在乡、村庄规划区内未依法取得乡村建设规划许可证或者未按照乡村建设规划许可证的规定进行建设的，逾期不改正的强制拆除</w:t>
            </w:r>
          </w:p>
        </w:tc>
        <w:tc>
          <w:tcPr>
            <w:tcW w:w="1600" w:type="dxa"/>
            <w:noWrap w:val="0"/>
            <w:vAlign w:val="center"/>
          </w:tcPr>
          <w:p w14:paraId="1DDE687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520" w:type="dxa"/>
            <w:noWrap w:val="0"/>
            <w:vAlign w:val="center"/>
          </w:tcPr>
          <w:p w14:paraId="062C370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《中华人民共和国城乡规划法》第六十五条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在乡、村庄规划区内未依法取得乡村建设规划许可证或者未按照乡村建设规划许可证的规定进行建设的，由乡、镇人民政府责令停止建设、限期改正；逾期不改正的，可以拆除。</w:t>
            </w:r>
          </w:p>
        </w:tc>
        <w:tc>
          <w:tcPr>
            <w:tcW w:w="1187" w:type="dxa"/>
            <w:noWrap w:val="0"/>
            <w:vAlign w:val="center"/>
          </w:tcPr>
          <w:p w14:paraId="5CF9DB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noWrap w:val="0"/>
            <w:vAlign w:val="center"/>
          </w:tcPr>
          <w:p w14:paraId="44225A4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noWrap w:val="0"/>
            <w:vAlign w:val="center"/>
          </w:tcPr>
          <w:p w14:paraId="1EB7515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7253C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4A7927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2DA4855C">
            <w:pPr>
              <w:pStyle w:val="8"/>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对环境保护隐患的检查</w:t>
            </w:r>
          </w:p>
        </w:tc>
        <w:tc>
          <w:tcPr>
            <w:tcW w:w="1600" w:type="dxa"/>
          </w:tcPr>
          <w:p w14:paraId="3C18004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86B615B">
            <w:pPr>
              <w:pStyle w:val="8"/>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 xml:space="preserve">《四川省环境保护条例》第三条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环境保护工作，加强环境保护法制宣传和隐患排查，发现存在环境问题的，应当及时向环境保护等有关部门报告。鼓励通过购买基层公共服务、设置环保公益岗位等形式加强环境保护工作。</w:t>
            </w:r>
          </w:p>
          <w:p w14:paraId="728419DE">
            <w:pPr>
              <w:pStyle w:val="8"/>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 xml:space="preserve">  《四川省&lt;中华人民共和国大气污染防治法&gt;实施办法》第三条第三款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大气环境保护工作，加强大气环境隐患排查，发现存在大气污染问题的，应当及时向负有大气污染防治监督管理职责的有关部门报告。</w:t>
            </w:r>
            <w:r>
              <w:rPr>
                <w:rFonts w:hint="default" w:ascii="Times New Roman" w:hAnsi="Times New Roman" w:eastAsia="方正仿宋简体" w:cs="Times New Roman"/>
                <w:color w:val="auto"/>
                <w:kern w:val="2"/>
                <w:sz w:val="24"/>
                <w:szCs w:val="24"/>
                <w:lang w:val="en-US" w:eastAsia="zh-CN" w:bidi="ar-SA"/>
              </w:rPr>
              <w:t xml:space="preserve"> </w:t>
            </w:r>
          </w:p>
        </w:tc>
        <w:tc>
          <w:tcPr>
            <w:tcW w:w="1187" w:type="dxa"/>
            <w:vAlign w:val="center"/>
          </w:tcPr>
          <w:p w14:paraId="1D2DFB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1EA2ED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531675A7">
            <w:pPr>
              <w:pStyle w:val="8"/>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3EC45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F6D2503">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5962BB9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eastAsia="zh-CN"/>
              </w:rPr>
              <w:t>对秸秆禁烧区开展秸秆焚烧现场检查</w:t>
            </w:r>
          </w:p>
        </w:tc>
        <w:tc>
          <w:tcPr>
            <w:tcW w:w="1600" w:type="dxa"/>
          </w:tcPr>
          <w:p w14:paraId="7BAE960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56D4A09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《四川省环境保护条例》第五十一条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乡（镇）人民政府和街道办事处应当在依法划定的秸秆禁烧区开展秸秆焚烧现场检查。发现违法焚烧秸秆的，应当及时制止，并报告县级以上环境保护主管部门及有关部门。</w:t>
            </w:r>
          </w:p>
        </w:tc>
        <w:tc>
          <w:tcPr>
            <w:tcW w:w="1187" w:type="dxa"/>
            <w:vAlign w:val="center"/>
          </w:tcPr>
          <w:p w14:paraId="6C221F6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7BB5BF2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2EF1597E">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3278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8BB81D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25DA9E11">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对水上交通安全的监督检查</w:t>
            </w:r>
          </w:p>
        </w:tc>
        <w:tc>
          <w:tcPr>
            <w:tcW w:w="1600" w:type="dxa"/>
          </w:tcPr>
          <w:p w14:paraId="2B82815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0C9623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《四川省水上交通安全管理条例》第八条</w:t>
            </w:r>
            <w:r>
              <w:rPr>
                <w:rFonts w:hint="default" w:ascii="Times New Roman" w:hAnsi="Times New Roman" w:eastAsia="方正仿宋简体" w:cs="Times New Roman"/>
                <w:b w:val="0"/>
                <w:color w:val="auto"/>
                <w:sz w:val="24"/>
                <w:szCs w:val="24"/>
                <w:highlight w:val="none"/>
                <w:u w:val="none"/>
              </w:rPr>
              <w:t xml:space="preserve">第一款第一项  </w:t>
            </w:r>
            <w:r>
              <w:rPr>
                <w:rFonts w:hint="default" w:ascii="Times New Roman" w:hAnsi="Times New Roman" w:eastAsia="方正仿宋简体" w:cs="Times New Roman"/>
                <w:color w:val="auto"/>
                <w:sz w:val="24"/>
                <w:szCs w:val="24"/>
                <w:highlight w:val="none"/>
                <w:u w:val="none"/>
              </w:rPr>
              <w:t>负责本行政区域内的船舶所有人、经营人、船员以及有关单位、个人安全工作的组织、协调和安全隐患的督察整改工作，组织开展安全宣传、安全检查活动。</w:t>
            </w:r>
            <w:r>
              <w:rPr>
                <w:rFonts w:hint="default" w:ascii="Times New Roman" w:hAnsi="Times New Roman" w:eastAsia="方正仿宋简体" w:cs="Times New Roman"/>
                <w:color w:val="auto"/>
                <w:sz w:val="24"/>
                <w:szCs w:val="24"/>
                <w:lang w:val="en-US" w:eastAsia="zh-CN"/>
              </w:rPr>
              <w:t xml:space="preserve"> </w:t>
            </w:r>
          </w:p>
          <w:p w14:paraId="43B0EDE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《四川省水上交通安全管理条例》第四十五条</w:t>
            </w:r>
            <w:r>
              <w:rPr>
                <w:rFonts w:hint="default" w:ascii="Times New Roman" w:hAnsi="Times New Roman" w:eastAsia="方正仿宋简体" w:cs="Times New Roman"/>
                <w:b w:val="0"/>
                <w:color w:val="auto"/>
                <w:sz w:val="24"/>
                <w:szCs w:val="24"/>
                <w:highlight w:val="none"/>
                <w:u w:val="none"/>
              </w:rPr>
              <w:t>第一款</w:t>
            </w:r>
            <w:r>
              <w:rPr>
                <w:rFonts w:hint="default" w:ascii="Times New Roman" w:hAnsi="Times New Roman" w:eastAsia="方正仿宋简体" w:cs="Times New Roman"/>
                <w:color w:val="auto"/>
                <w:sz w:val="24"/>
                <w:szCs w:val="24"/>
                <w:highlight w:val="none"/>
                <w:u w:val="none"/>
              </w:rPr>
              <w:t xml:space="preserve">  具有水上交通安全管理职责的乡（镇）人民政府应当根据本条例的规定，对水上交通安全实施监督检查，对违法行为进行纠正，责令停止违法行为。对重大水上交通安全违法行为和重大安全隐患，应当及时向上级人民政府及有关部门报告。</w:t>
            </w:r>
          </w:p>
        </w:tc>
        <w:tc>
          <w:tcPr>
            <w:tcW w:w="1187" w:type="dxa"/>
            <w:vAlign w:val="center"/>
          </w:tcPr>
          <w:p w14:paraId="0A79BE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74D369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3B98006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2DEA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61CE573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50EB3CE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对渡口安全的监督检查</w:t>
            </w:r>
          </w:p>
        </w:tc>
        <w:tc>
          <w:tcPr>
            <w:tcW w:w="1600" w:type="dxa"/>
          </w:tcPr>
          <w:p w14:paraId="0133311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54ACFF1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lang w:val="en-US" w:eastAsia="zh-CN"/>
              </w:rPr>
            </w:pPr>
            <w:r>
              <w:rPr>
                <w:rFonts w:hint="default" w:ascii="Times New Roman" w:hAnsi="Times New Roman" w:eastAsia="方正仿宋简体" w:cs="Times New Roman"/>
                <w:color w:val="auto"/>
                <w:sz w:val="24"/>
                <w:szCs w:val="24"/>
              </w:rPr>
              <w:t>《四川省渡口管理办法》第四条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highlight w:val="none"/>
                <w:u w:val="none"/>
              </w:rPr>
              <w:t>县级人民政府负责本行政区域内渡口管理工作。乡（镇）人民政府（含街道办事处，下同）负责本行政区域内渡口管理的日常工作。</w:t>
            </w:r>
            <w:r>
              <w:rPr>
                <w:rFonts w:hint="default" w:ascii="Times New Roman" w:hAnsi="Times New Roman" w:eastAsia="方正仿宋简体" w:cs="Times New Roman"/>
                <w:color w:val="auto"/>
                <w:sz w:val="24"/>
                <w:szCs w:val="24"/>
                <w:highlight w:val="none"/>
                <w:u w:val="none"/>
                <w:lang w:val="en-US" w:eastAsia="zh-CN"/>
              </w:rPr>
              <w:t xml:space="preserve"> </w:t>
            </w:r>
          </w:p>
          <w:p w14:paraId="05E71D7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《四川省渡口管理办法》第六条</w:t>
            </w:r>
            <w:r>
              <w:rPr>
                <w:rFonts w:hint="default" w:ascii="Times New Roman" w:hAnsi="Times New Roman" w:eastAsia="方正仿宋简体" w:cs="Times New Roman"/>
                <w:color w:val="auto"/>
                <w:sz w:val="24"/>
                <w:szCs w:val="24"/>
                <w:lang w:val="en-US" w:eastAsia="zh-CN"/>
              </w:rPr>
              <w:t xml:space="preserve"> 乡（镇）人民政府履行下列具体职责：（一）建立健全渡口日常管理工作制度，落实相关机构和人员；（二）负责对渡船船员和渡口工作人员进行安全教育培训，建立公益性渡口的渡船船员考核制度并组织实施；（三）开展渡口安全监督检查，依法制止和纠正违法行为，对发现的安全隐患按照规定及时处理；（四）负责公益性渡口的日常管理和维护；（五）建立健全渡船自救互救机制，实施渡运有关应急救援预案；（六）法律、法规、规章规定的其他职责。</w:t>
            </w:r>
          </w:p>
        </w:tc>
        <w:tc>
          <w:tcPr>
            <w:tcW w:w="1187" w:type="dxa"/>
            <w:vAlign w:val="center"/>
          </w:tcPr>
          <w:p w14:paraId="078BF3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65BACB1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439CEC4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07306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17F34E9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7E7F162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对生产经营单位安全生产状况的监督检查</w:t>
            </w:r>
          </w:p>
        </w:tc>
        <w:tc>
          <w:tcPr>
            <w:tcW w:w="1600" w:type="dxa"/>
          </w:tcPr>
          <w:p w14:paraId="6A46D94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4DCE14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z w:val="24"/>
                <w:szCs w:val="24"/>
              </w:rPr>
              <w:t>《中华人民共和国安全生产法》第九条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14:paraId="1387336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《四川省安全生产条例》第五条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各类功能区（以下统称功能区）管理机构应当明确负责安全生产监督管理的有关工作机构及其职责，按照职责对本行政区域或者管理区域内生产经营单位安全生产状况进行监督检查，协助人民政府有关部门或者按照授权依法履行安全生产监督管理职责。</w:t>
            </w:r>
            <w:r>
              <w:rPr>
                <w:rFonts w:hint="default" w:ascii="Times New Roman" w:hAnsi="Times New Roman" w:eastAsia="方正仿宋简体" w:cs="Times New Roman"/>
                <w:color w:val="auto"/>
                <w:sz w:val="24"/>
                <w:szCs w:val="24"/>
                <w:lang w:val="en-US" w:eastAsia="zh-CN"/>
              </w:rPr>
              <w:t xml:space="preserve"> </w:t>
            </w:r>
          </w:p>
        </w:tc>
        <w:tc>
          <w:tcPr>
            <w:tcW w:w="1187" w:type="dxa"/>
            <w:vAlign w:val="center"/>
          </w:tcPr>
          <w:p w14:paraId="0BEC766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3AF9B15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3706354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10D4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AD2A6F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32603BB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对食品安全的监督检查</w:t>
            </w:r>
          </w:p>
        </w:tc>
        <w:tc>
          <w:tcPr>
            <w:tcW w:w="1600" w:type="dxa"/>
          </w:tcPr>
          <w:p w14:paraId="6DAC7CA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2756062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《四川省食品安全条例》第八条</w:t>
            </w:r>
            <w:r>
              <w:rPr>
                <w:rFonts w:hint="default" w:ascii="Times New Roman" w:hAnsi="Times New Roman" w:eastAsia="方正仿宋简体" w:cs="Times New Roman"/>
                <w:color w:val="auto"/>
                <w:sz w:val="24"/>
                <w:szCs w:val="24"/>
                <w:lang w:val="en-US" w:eastAsia="zh-CN"/>
              </w:rPr>
              <w:t xml:space="preserve"> 乡镇人民政府和街道办事处应当建立完善食品安全工作机制，统筹协调食品安全工作，依法开展涉及食品安全的隐患排查、信息报告、宣传教育，支持和协助有关部门开展食品安全执法和突发事件处置等工作。乡镇人民政府和街道办事处应当将食品安全工作纳入基层治理网格化服务管理体系，在村、社区建立专职或者兼职食品安全信息员（协管员）队伍，协助开展食品安全监督管理工作。 </w:t>
            </w:r>
          </w:p>
          <w:p w14:paraId="634CD1F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《四川省食品安全条例》第四十条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乡镇人民政府、街道办事处负责本行政区域内食品摊贩的信息统计与报告、食品安全隐患排查、宣传教育等工作，协助市场监督管理等部门做好食品小作坊、小经营店及摊贩的监督管理工作。</w:t>
            </w:r>
            <w:r>
              <w:rPr>
                <w:rFonts w:hint="default" w:ascii="Times New Roman" w:hAnsi="Times New Roman" w:eastAsia="方正仿宋简体" w:cs="Times New Roman"/>
                <w:color w:val="auto"/>
                <w:sz w:val="24"/>
                <w:szCs w:val="24"/>
                <w:lang w:val="en-US" w:eastAsia="zh-CN"/>
              </w:rPr>
              <w:t xml:space="preserve"> </w:t>
            </w:r>
          </w:p>
        </w:tc>
        <w:tc>
          <w:tcPr>
            <w:tcW w:w="1187" w:type="dxa"/>
            <w:vAlign w:val="center"/>
          </w:tcPr>
          <w:p w14:paraId="3CFB093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1BDF29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76A2A369">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78FD1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2631BC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3237181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配合开展电信设施建设和保护工作的监督检查</w:t>
            </w:r>
          </w:p>
        </w:tc>
        <w:tc>
          <w:tcPr>
            <w:tcW w:w="1600" w:type="dxa"/>
          </w:tcPr>
          <w:p w14:paraId="0896962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2E3C7D8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《四川省电信设施建设和保护条例》第三十三条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乡（镇）人民政府、街道办事处、村（居）民委员会应当配合省电信管理机构对电信设施建设和保护工作开展监督检查，指导、督促有关单位和个人履行电信设施建设和保护义务。</w:t>
            </w:r>
          </w:p>
        </w:tc>
        <w:tc>
          <w:tcPr>
            <w:tcW w:w="1187" w:type="dxa"/>
            <w:vAlign w:val="center"/>
          </w:tcPr>
          <w:p w14:paraId="3C7A3DD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7C0DAD4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6C714D4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4D16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74605C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486041A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对消防安全的检查</w:t>
            </w:r>
          </w:p>
        </w:tc>
        <w:tc>
          <w:tcPr>
            <w:tcW w:w="1600" w:type="dxa"/>
          </w:tcPr>
          <w:p w14:paraId="00AFDF7F">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352506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《中华人民共和国消防法》第三十条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地方各级人民政府应当加强对农村消防工作的领导，采取措施加强公共消防设施建设，组织建立和督促落实消防安全责任制。</w:t>
            </w:r>
          </w:p>
          <w:p w14:paraId="41C51A1F">
            <w:pPr>
              <w:pStyle w:val="8"/>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《中华人民共和国消防法》第三十一条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在农业收获季节、森林和草原防火期间、重大节假日期间以及火灾多发季节，地方各级人民政府应当组织开展有针对性的消防宣传教育，采取防火措施，进行消防安全检查。</w:t>
            </w:r>
            <w:r>
              <w:rPr>
                <w:rFonts w:hint="default" w:ascii="Times New Roman" w:hAnsi="Times New Roman" w:eastAsia="方正仿宋简体" w:cs="Times New Roman"/>
                <w:color w:val="auto"/>
                <w:sz w:val="24"/>
                <w:szCs w:val="24"/>
                <w:lang w:val="en-US" w:eastAsia="zh-CN"/>
              </w:rPr>
              <w:t xml:space="preserve"> </w:t>
            </w:r>
          </w:p>
          <w:p w14:paraId="7EDA83F9">
            <w:pPr>
              <w:pStyle w:val="8"/>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pacing w:val="-1"/>
                <w:sz w:val="24"/>
                <w:szCs w:val="24"/>
                <w:lang w:eastAsia="zh-CN"/>
              </w:rPr>
            </w:pPr>
            <w:r>
              <w:rPr>
                <w:rFonts w:hint="default" w:ascii="Times New Roman" w:hAnsi="Times New Roman" w:eastAsia="方正仿宋简体" w:cs="Times New Roman"/>
                <w:color w:val="auto"/>
                <w:sz w:val="24"/>
                <w:szCs w:val="24"/>
              </w:rPr>
              <w:t>《中华人民共和国消防法》第三十二条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乡镇人民政府、城市街道办事处应当指导、支持和帮助村民委员会、居民委员会开展群众性的消防工作。村民委员会、居民委员会应当确定消防安全管理人，组织制定防火安全公约，进行防火安全检查。</w:t>
            </w:r>
          </w:p>
          <w:p w14:paraId="28D2055C">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《四川省消防条例》第十一条</w:t>
            </w:r>
            <w:r>
              <w:rPr>
                <w:rFonts w:hint="default" w:ascii="Times New Roman" w:hAnsi="Times New Roman" w:eastAsia="方正仿宋简体" w:cs="Times New Roman"/>
                <w:color w:val="auto"/>
                <w:sz w:val="24"/>
                <w:szCs w:val="24"/>
                <w:lang w:val="en-US" w:eastAsia="zh-CN"/>
              </w:rPr>
              <w:t xml:space="preserve"> 乡镇人民政府、街道办事处应当履行下列消防工作职责：（一）确定负责消防工作的机构和人员，制定消防安全制度；（二）根据当地经济发展和消防工作的需要，建立政府专职消防队、志愿消防队；（三）组织开展消防安全检查，督促整改火灾隐患；（四）因地制宜将消防安全纳入网格化服务管理范围；（五）指导、支持和帮助村民委员会、居民委员会开展群众性的消防工作；（六）辖区发生火灾事故时，协助做好灭火救援、火灾事故调查和善后处理相关工作；（七）组织开展经常性的消防宣传教育，提高公民消防安全意识；（八）法律、法规、规章规定的其他消防工作职责。</w:t>
            </w:r>
          </w:p>
        </w:tc>
        <w:tc>
          <w:tcPr>
            <w:tcW w:w="1187" w:type="dxa"/>
            <w:vAlign w:val="center"/>
          </w:tcPr>
          <w:p w14:paraId="608ED2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5461405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4604059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6306B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B91E01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4A7F9CA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对本辖区内公共消防设施的规划建设和维护管理情况的检查</w:t>
            </w:r>
          </w:p>
        </w:tc>
        <w:tc>
          <w:tcPr>
            <w:tcW w:w="1600" w:type="dxa"/>
          </w:tcPr>
          <w:p w14:paraId="1BFEDD1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4B76D3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《四川省公共消防设施条例》第九条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应当将保护公共消防设施纳入消防安全网格化管理内容，健全网格员培训机制。对本辖区内公共消防设施的规划建设和维护管理情况实施定期排查，每半年不少于一次，排查清单应当及时报告县级消防救援机构。发现公共消防设施损坏的，应当及时通知维护管理单位维修，并向县级人民政府相关行政主管部门报告。</w:t>
            </w:r>
          </w:p>
        </w:tc>
        <w:tc>
          <w:tcPr>
            <w:tcW w:w="1187" w:type="dxa"/>
            <w:vAlign w:val="center"/>
          </w:tcPr>
          <w:p w14:paraId="6BA8DB6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121FF12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10B3F9B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5D718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43AB5B7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2A4094C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对地质灾害险情的检查</w:t>
            </w:r>
          </w:p>
        </w:tc>
        <w:tc>
          <w:tcPr>
            <w:tcW w:w="1600" w:type="dxa"/>
          </w:tcPr>
          <w:p w14:paraId="76EFD71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7246FE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《地质灾害防治条例》第十五条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地质灾害易发区的县、乡、村应当加强地质灾害的群测群防工作。在地质灾害重点防范期内，乡镇人民政府、基层群众自治组织应当加强地质灾害险情的巡回检查，发现险情及时处理和报告。</w:t>
            </w:r>
          </w:p>
        </w:tc>
        <w:tc>
          <w:tcPr>
            <w:tcW w:w="1187" w:type="dxa"/>
            <w:vAlign w:val="center"/>
          </w:tcPr>
          <w:p w14:paraId="2ACF64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2B5D83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6692BE3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281E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A53365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339384E7">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对乡（镇）、村农村住房建设质量安全的检查</w:t>
            </w:r>
          </w:p>
        </w:tc>
        <w:tc>
          <w:tcPr>
            <w:tcW w:w="1600" w:type="dxa"/>
          </w:tcPr>
          <w:p w14:paraId="6228296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4C49587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《四川省农村住房建设管理办法》第二十九条</w:t>
            </w:r>
            <w:r>
              <w:rPr>
                <w:rFonts w:hint="default" w:ascii="Times New Roman" w:hAnsi="Times New Roman" w:eastAsia="方正仿宋简体" w:cs="Times New Roman"/>
                <w:color w:val="auto"/>
                <w:sz w:val="24"/>
                <w:szCs w:val="24"/>
                <w:lang w:val="en-US" w:eastAsia="zh-CN"/>
              </w:rPr>
              <w:t xml:space="preserve"> 县（市、区）人民政府住房城乡建设、自然资源、农业农村等主管部门应当按照各自职责，会同乡镇人民政府对农村住房建设的规划、宅基地使用、质量安全和风貌等进行监督管理。乡镇人民政府应当组织农村住房建设管理人员、技术服务机构或者专业技术人员，对农村住房建设的地基基础、主体结构、屋面等重要部位进行监督检查，并记录检查情况；村民委员会协助做好施工现场的日常巡查，并记录巡查情况。</w:t>
            </w:r>
          </w:p>
        </w:tc>
        <w:tc>
          <w:tcPr>
            <w:tcW w:w="1187" w:type="dxa"/>
            <w:vAlign w:val="center"/>
          </w:tcPr>
          <w:p w14:paraId="14C6B1F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65F8590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1918EBE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4365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556BBC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322FD21D">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对预防控制狂犬病工作的督促检查</w:t>
            </w:r>
          </w:p>
        </w:tc>
        <w:tc>
          <w:tcPr>
            <w:tcW w:w="1600" w:type="dxa"/>
          </w:tcPr>
          <w:p w14:paraId="327DD3E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2616045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《四川省预防控制狂犬病条例》第三条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地方各级人民政府对预防控制狂犬病工作要加强组织领导和督促检查。</w:t>
            </w:r>
          </w:p>
        </w:tc>
        <w:tc>
          <w:tcPr>
            <w:tcW w:w="1187" w:type="dxa"/>
            <w:vAlign w:val="center"/>
          </w:tcPr>
          <w:p w14:paraId="19D7198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2CEC1E7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60BA911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60BF5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1A10F0B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2FD62C77">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对本行政区域内草原保护、建设和利用情况的监督检查</w:t>
            </w:r>
          </w:p>
        </w:tc>
        <w:tc>
          <w:tcPr>
            <w:tcW w:w="1600" w:type="dxa"/>
          </w:tcPr>
          <w:p w14:paraId="3475D643">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A6FA7A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rPr>
              <w:t>《中华人民共和国草原法》第八条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乡（镇）人民政府应当加强对本行政区域内草原保护、建设和利用情况的监督检查，根据需要可以设专职或者兼职人员负责具体监督检查工作。</w:t>
            </w:r>
            <w:r>
              <w:rPr>
                <w:rFonts w:hint="default" w:ascii="Times New Roman" w:hAnsi="Times New Roman" w:eastAsia="方正仿宋简体" w:cs="Times New Roman"/>
                <w:color w:val="auto"/>
                <w:sz w:val="24"/>
                <w:szCs w:val="24"/>
                <w:lang w:val="en-US" w:eastAsia="zh-CN"/>
              </w:rPr>
              <w:t xml:space="preserve"> </w:t>
            </w:r>
          </w:p>
          <w:p w14:paraId="35093E9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《四川省《中华人民共和国草原法）实施办法》第三条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乡（镇）人民政府应当加强对草原保护、建设和利用情况的监督检查，根据需要设专职或者兼职人员负责具体监督检查工作。</w:t>
            </w:r>
          </w:p>
        </w:tc>
        <w:tc>
          <w:tcPr>
            <w:tcW w:w="1187" w:type="dxa"/>
            <w:vAlign w:val="center"/>
          </w:tcPr>
          <w:p w14:paraId="583619D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15CA7D5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4BD7AE49">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12B6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50F5D6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165FC16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eastAsia="zh-CN"/>
              </w:rPr>
              <w:t>配合开展森林防火检查</w:t>
            </w:r>
          </w:p>
        </w:tc>
        <w:tc>
          <w:tcPr>
            <w:tcW w:w="1600" w:type="dxa"/>
          </w:tcPr>
          <w:p w14:paraId="4F30004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6CCEA3F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1"/>
                <w:szCs w:val="21"/>
              </w:rPr>
              <w:t>《森林防火条例》第二十四条</w:t>
            </w:r>
            <w:r>
              <w:rPr>
                <w:rFonts w:hint="default" w:ascii="Times New Roman" w:hAnsi="Times New Roman" w:eastAsia="方正仿宋简体" w:cs="Times New Roman"/>
                <w:color w:val="auto"/>
                <w:spacing w:val="-1"/>
                <w:sz w:val="21"/>
                <w:szCs w:val="21"/>
                <w:lang w:val="en-US" w:eastAsia="zh-CN"/>
              </w:rPr>
              <w:t xml:space="preserve"> </w:t>
            </w:r>
            <w:r>
              <w:rPr>
                <w:rFonts w:hint="default" w:ascii="Times New Roman" w:hAnsi="Times New Roman" w:eastAsia="方正仿宋简体" w:cs="Times New Roman"/>
                <w:color w:val="auto"/>
                <w:spacing w:val="-1"/>
                <w:sz w:val="21"/>
                <w:szCs w:val="21"/>
              </w:rPr>
              <w:t>县级以上人民政府森林防火指挥机构，应当组织有关部门对森林防火区内有关单位的森林防火组织建设、</w:t>
            </w:r>
            <w:r>
              <w:rPr>
                <w:rFonts w:hint="default" w:ascii="Times New Roman" w:hAnsi="Times New Roman" w:eastAsia="方正仿宋简体" w:cs="Times New Roman"/>
                <w:color w:val="auto"/>
                <w:spacing w:val="-1"/>
                <w:sz w:val="24"/>
                <w:szCs w:val="24"/>
              </w:rPr>
              <w:t>森林防火责任制落实、森林防火设施建设等情况进行检查；对检查中发现的森林火灾隐患，县级以上地方人民政府林业主管部门应当及时向有关单位下达森林火灾隐患整改通知书，责令限期整改，消除隐患。</w:t>
            </w:r>
          </w:p>
          <w:p w14:paraId="604D75F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第三条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森林防火工作实行预防为主、积极消灭的方针，坚持以人为本、综合治理、分级负责、属地管理的原则。</w:t>
            </w:r>
          </w:p>
          <w:p w14:paraId="1686163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第四条</w:t>
            </w:r>
            <w:r>
              <w:rPr>
                <w:rFonts w:hint="default" w:ascii="Times New Roman" w:hAnsi="Times New Roman" w:eastAsia="方正仿宋简体" w:cs="Times New Roman"/>
                <w:color w:val="auto"/>
                <w:spacing w:val="-1"/>
                <w:sz w:val="24"/>
                <w:szCs w:val="24"/>
                <w:lang w:val="en-US" w:eastAsia="zh-CN"/>
              </w:rPr>
              <w:t xml:space="preserve"> 森林防火工作实行地方各级人民政府行政首长负责制。地方各级人民政府应当建立森林防火责任制度，签订森林防火责任书，并将森林防火工作纳入目标考核管理。</w:t>
            </w:r>
          </w:p>
          <w:p w14:paraId="22FF153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val="en-US" w:eastAsia="zh-CN"/>
              </w:rPr>
              <w:t xml:space="preserve">第六条第三款 </w:t>
            </w:r>
            <w:r>
              <w:rPr>
                <w:rFonts w:hint="default" w:ascii="Times New Roman" w:hAnsi="Times New Roman" w:eastAsia="方正仿宋简体" w:cs="Times New Roman"/>
                <w:color w:val="auto"/>
                <w:spacing w:val="-1"/>
                <w:sz w:val="24"/>
                <w:szCs w:val="24"/>
              </w:rPr>
              <w:t>乡（镇）人民政府、森林防火区内的街道办事处按照森林防火责任规定，做好本辖区森林防火工作。</w:t>
            </w:r>
          </w:p>
          <w:p w14:paraId="7E31214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号）中“基本清单”的行政检查第</w:t>
            </w:r>
            <w:r>
              <w:rPr>
                <w:rFonts w:hint="default" w:ascii="Times New Roman" w:hAnsi="Times New Roman" w:eastAsia="方正仿宋简体" w:cs="Times New Roman"/>
                <w:color w:val="auto"/>
                <w:spacing w:val="-1"/>
                <w:sz w:val="24"/>
                <w:szCs w:val="24"/>
                <w:lang w:val="en-US" w:eastAsia="zh-CN"/>
              </w:rPr>
              <w:t>6项</w:t>
            </w:r>
          </w:p>
          <w:p w14:paraId="4E64C65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《四川达州市通川区双龙镇履行职责事项清单》中“</w:t>
            </w:r>
            <w:r>
              <w:rPr>
                <w:rFonts w:hint="eastAsia" w:ascii="Times New Roman" w:hAnsi="Times New Roman" w:eastAsia="方正仿宋简体" w:cs="Times New Roman"/>
                <w:color w:val="auto"/>
                <w:spacing w:val="-1"/>
                <w:sz w:val="24"/>
                <w:szCs w:val="24"/>
                <w:lang w:eastAsia="zh-CN"/>
              </w:rPr>
              <w:t>基本履职事项清单</w:t>
            </w:r>
            <w:r>
              <w:rPr>
                <w:rFonts w:hint="default" w:ascii="Times New Roman" w:hAnsi="Times New Roman" w:eastAsia="方正仿宋简体" w:cs="Times New Roman"/>
                <w:color w:val="auto"/>
                <w:spacing w:val="-1"/>
                <w:sz w:val="24"/>
                <w:szCs w:val="24"/>
                <w:lang w:eastAsia="zh-CN"/>
              </w:rPr>
              <w:t>”的第</w:t>
            </w:r>
            <w:r>
              <w:rPr>
                <w:rFonts w:hint="default" w:ascii="Times New Roman" w:hAnsi="Times New Roman" w:eastAsia="方正仿宋简体" w:cs="Times New Roman"/>
                <w:color w:val="auto"/>
                <w:spacing w:val="-1"/>
                <w:sz w:val="24"/>
                <w:szCs w:val="24"/>
                <w:lang w:val="en-US" w:eastAsia="zh-CN"/>
              </w:rPr>
              <w:t>86项、“配合履职事项清单”的第29项</w:t>
            </w:r>
          </w:p>
        </w:tc>
        <w:tc>
          <w:tcPr>
            <w:tcW w:w="1187" w:type="dxa"/>
            <w:vAlign w:val="center"/>
          </w:tcPr>
          <w:p w14:paraId="07AAEEB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1654FE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2A3C5979">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赋权事项</w:t>
            </w:r>
          </w:p>
        </w:tc>
      </w:tr>
      <w:tr w14:paraId="0E7D6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43B840E7">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0E919EB6">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eastAsia="zh-CN"/>
              </w:rPr>
              <w:t>对农贸市场开展日常巡查</w:t>
            </w:r>
          </w:p>
        </w:tc>
        <w:tc>
          <w:tcPr>
            <w:tcW w:w="1600" w:type="dxa"/>
            <w:shd w:val="clear" w:color="auto" w:fill="auto"/>
            <w:vAlign w:val="center"/>
          </w:tcPr>
          <w:p w14:paraId="7A611E6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7F66C20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lang w:eastAsia="zh-CN"/>
              </w:rPr>
              <w:t>《达州市农贸市场管理条例》第六条第三款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乡镇人民政府（街道办事处）负责对辖区农贸市场开展日常巡查，督促市场开办者及市场经营者落实相关责任，发现违法行为应当及时制止，报告有关部门（单位）并协助处理。</w:t>
            </w:r>
          </w:p>
          <w:p w14:paraId="727F1D3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lang w:val="en-US" w:eastAsia="zh-CN" w:bidi="ar-SA"/>
              </w:rPr>
            </w:pPr>
          </w:p>
        </w:tc>
        <w:tc>
          <w:tcPr>
            <w:tcW w:w="1187" w:type="dxa"/>
            <w:shd w:val="clear" w:color="auto" w:fill="auto"/>
            <w:vAlign w:val="center"/>
          </w:tcPr>
          <w:p w14:paraId="32A754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双龙镇人民政府</w:t>
            </w:r>
          </w:p>
        </w:tc>
        <w:tc>
          <w:tcPr>
            <w:tcW w:w="1053" w:type="dxa"/>
            <w:shd w:val="clear" w:color="auto" w:fill="auto"/>
            <w:vAlign w:val="center"/>
          </w:tcPr>
          <w:p w14:paraId="14399F5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6D65D41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466AB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CA69D3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4626FF3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highlight w:val="none"/>
                <w:u w:val="none"/>
                <w:lang w:val="en-US" w:eastAsia="zh-CN" w:bidi="ar-SA"/>
              </w:rPr>
            </w:pPr>
            <w:r>
              <w:rPr>
                <w:rFonts w:hint="default" w:ascii="Times New Roman" w:hAnsi="Times New Roman" w:eastAsia="方正仿宋简体" w:cs="Times New Roman"/>
                <w:color w:val="auto"/>
                <w:sz w:val="24"/>
                <w:szCs w:val="24"/>
                <w:lang w:eastAsia="zh-CN"/>
              </w:rPr>
              <w:t>对</w:t>
            </w:r>
            <w:r>
              <w:rPr>
                <w:rFonts w:hint="default" w:ascii="Times New Roman" w:hAnsi="Times New Roman" w:eastAsia="方正仿宋简体" w:cs="Times New Roman"/>
                <w:color w:val="auto"/>
                <w:sz w:val="24"/>
                <w:szCs w:val="24"/>
              </w:rPr>
              <w:t>在禁渔区、禁渔期内从事游钓、水禽放养的日常巡查</w:t>
            </w:r>
          </w:p>
        </w:tc>
        <w:tc>
          <w:tcPr>
            <w:tcW w:w="1600" w:type="dxa"/>
            <w:shd w:val="clear" w:color="auto" w:fill="auto"/>
            <w:vAlign w:val="center"/>
          </w:tcPr>
          <w:p w14:paraId="34C5D88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677A0DC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 中华人民共和国渔业法〉实施办法》第二十六条第三款在禁渔期和禁渔区内，禁止捕捞作业、游钓和水禽放 养，禁止扎巢取卵、挖沙采石，禁止销售、收购在禁渔期和禁渔区内捕捞的渔获物。</w:t>
            </w:r>
          </w:p>
          <w:p w14:paraId="4DE112F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《四川达州市通川区双龙镇履行职责事项清单》中“配合履职事项清单”的第</w:t>
            </w:r>
            <w:r>
              <w:rPr>
                <w:rFonts w:hint="default" w:ascii="Times New Roman" w:hAnsi="Times New Roman" w:eastAsia="方正仿宋简体" w:cs="Times New Roman"/>
                <w:color w:val="auto"/>
                <w:spacing w:val="-1"/>
                <w:sz w:val="24"/>
                <w:szCs w:val="24"/>
                <w:lang w:val="en-US" w:eastAsia="zh-CN"/>
              </w:rPr>
              <w:t>47项</w:t>
            </w:r>
          </w:p>
          <w:p w14:paraId="5BEEC2D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kern w:val="0"/>
                <w:sz w:val="24"/>
                <w:szCs w:val="24"/>
                <w:highlight w:val="none"/>
                <w:u w:val="none"/>
                <w:lang w:val="en-US" w:eastAsia="zh-CN" w:bidi="ar-SA"/>
              </w:rPr>
            </w:pPr>
            <w:r>
              <w:rPr>
                <w:rFonts w:hint="default" w:ascii="Times New Roman" w:hAnsi="Times New Roman" w:eastAsia="方正仿宋简体" w:cs="Times New Roman"/>
                <w:color w:val="auto"/>
                <w:sz w:val="24"/>
                <w:szCs w:val="24"/>
                <w:lang w:val="en-US" w:eastAsia="zh-CN"/>
              </w:rPr>
              <w:t xml:space="preserve"> </w:t>
            </w:r>
          </w:p>
        </w:tc>
        <w:tc>
          <w:tcPr>
            <w:tcW w:w="1187" w:type="dxa"/>
            <w:shd w:val="clear" w:color="auto" w:fill="auto"/>
            <w:vAlign w:val="center"/>
          </w:tcPr>
          <w:p w14:paraId="56D6DDF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双龙镇人民政府</w:t>
            </w:r>
          </w:p>
        </w:tc>
        <w:tc>
          <w:tcPr>
            <w:tcW w:w="1053" w:type="dxa"/>
            <w:shd w:val="clear" w:color="auto" w:fill="auto"/>
            <w:vAlign w:val="center"/>
          </w:tcPr>
          <w:p w14:paraId="72AB7E3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42BF08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赋权事项</w:t>
            </w:r>
          </w:p>
        </w:tc>
      </w:tr>
      <w:tr w14:paraId="56895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60A62DB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7A82B26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pacing w:val="-2"/>
                <w:sz w:val="24"/>
                <w:szCs w:val="24"/>
              </w:rPr>
              <w:t>水土保持监督检查</w:t>
            </w:r>
          </w:p>
        </w:tc>
        <w:tc>
          <w:tcPr>
            <w:tcW w:w="1600" w:type="dxa"/>
          </w:tcPr>
          <w:p w14:paraId="28FC922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7DD0B00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7372981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0751512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3742CF9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46257D0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60B8F4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kern w:val="2"/>
                <w:sz w:val="24"/>
                <w:szCs w:val="24"/>
                <w:lang w:val="en-US" w:eastAsia="zh-CN" w:bidi="ar-SA"/>
              </w:rPr>
              <w:t xml:space="preserve">《中华人民共和国水土保持法》第四十三条 </w:t>
            </w:r>
            <w:r>
              <w:rPr>
                <w:rFonts w:hint="default" w:ascii="Times New Roman" w:hAnsi="Times New Roman" w:eastAsia="方正仿宋简体" w:cs="Times New Roman"/>
                <w:color w:val="auto"/>
                <w:spacing w:val="-1"/>
                <w:kern w:val="0"/>
                <w:sz w:val="24"/>
                <w:szCs w:val="24"/>
                <w:lang w:val="en-US" w:eastAsia="zh-CN" w:bidi="ar-SA"/>
              </w:rPr>
              <w:t>县级以上人民政府水行政主管部门负责对水土保持情况进行监督检查。流域 管理机构在其管辖范围内可以行使国务院水行政主管部门的监督检查职权。</w:t>
            </w:r>
          </w:p>
          <w:p w14:paraId="550D04C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号）中“特色清单”的行政检查第</w:t>
            </w:r>
            <w:r>
              <w:rPr>
                <w:rFonts w:hint="default" w:ascii="Times New Roman" w:hAnsi="Times New Roman" w:eastAsia="方正仿宋简体" w:cs="Times New Roman"/>
                <w:color w:val="auto"/>
                <w:spacing w:val="-1"/>
                <w:sz w:val="24"/>
                <w:szCs w:val="24"/>
                <w:lang w:val="en-US" w:eastAsia="zh-CN"/>
              </w:rPr>
              <w:t>2项</w:t>
            </w:r>
          </w:p>
        </w:tc>
        <w:tc>
          <w:tcPr>
            <w:tcW w:w="1187" w:type="dxa"/>
            <w:vAlign w:val="center"/>
          </w:tcPr>
          <w:p w14:paraId="636EB4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18BC5CB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09A8400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赋权事项</w:t>
            </w:r>
          </w:p>
        </w:tc>
      </w:tr>
      <w:tr w14:paraId="6CB5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13A0207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5B51508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pacing w:val="-2"/>
                <w:kern w:val="0"/>
                <w:sz w:val="24"/>
                <w:szCs w:val="24"/>
                <w:lang w:val="en-US" w:eastAsia="zh-CN" w:bidi="ar-SA"/>
              </w:rPr>
            </w:pPr>
            <w:r>
              <w:rPr>
                <w:rFonts w:hint="default" w:ascii="Times New Roman" w:hAnsi="Times New Roman" w:eastAsia="方正仿宋简体" w:cs="Times New Roman"/>
                <w:color w:val="auto"/>
                <w:spacing w:val="11"/>
                <w:sz w:val="24"/>
                <w:szCs w:val="24"/>
              </w:rPr>
              <w:t>对违反农村宅基地管理</w:t>
            </w:r>
            <w:r>
              <w:rPr>
                <w:rFonts w:hint="default" w:ascii="Times New Roman" w:hAnsi="Times New Roman" w:eastAsia="方正仿宋简体" w:cs="Times New Roman"/>
                <w:color w:val="auto"/>
                <w:spacing w:val="-6"/>
                <w:sz w:val="24"/>
                <w:szCs w:val="24"/>
              </w:rPr>
              <w:t>法律、法规行为的监督检</w:t>
            </w:r>
            <w:r>
              <w:rPr>
                <w:rFonts w:hint="default" w:ascii="Times New Roman" w:hAnsi="Times New Roman" w:eastAsia="方正仿宋简体" w:cs="Times New Roman"/>
                <w:color w:val="auto"/>
                <w:sz w:val="24"/>
                <w:szCs w:val="24"/>
              </w:rPr>
              <w:t>查</w:t>
            </w:r>
          </w:p>
        </w:tc>
        <w:tc>
          <w:tcPr>
            <w:tcW w:w="1600" w:type="dxa"/>
          </w:tcPr>
          <w:p w14:paraId="1133A211">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3BB2F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kern w:val="2"/>
                <w:sz w:val="24"/>
                <w:szCs w:val="24"/>
                <w:lang w:val="en-US" w:eastAsia="zh-CN" w:bidi="ar-SA"/>
              </w:rPr>
              <w:t xml:space="preserve">《中华人民共和国土地管理法》第六十七条 </w:t>
            </w:r>
            <w:r>
              <w:rPr>
                <w:rFonts w:hint="default" w:ascii="Times New Roman" w:hAnsi="Times New Roman" w:eastAsia="方正仿宋简体" w:cs="Times New Roman"/>
                <w:color w:val="auto"/>
                <w:sz w:val="24"/>
                <w:szCs w:val="24"/>
              </w:rPr>
              <w:t>县级以上人民政府自然资源主管</w:t>
            </w:r>
            <w:r>
              <w:rPr>
                <w:rFonts w:hint="default" w:ascii="Times New Roman" w:hAnsi="Times New Roman" w:eastAsia="方正仿宋简体" w:cs="Times New Roman"/>
                <w:color w:val="auto"/>
                <w:spacing w:val="-1"/>
                <w:sz w:val="24"/>
                <w:szCs w:val="24"/>
              </w:rPr>
              <w:t>部门对违反土地管理法律、法规的行为进行</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监督检查。县级以上人民政府农业农村主管部门对违反农村宅基地管理法律、法规的行为进行监督检查的，适用本法关</w:t>
            </w:r>
            <w:r>
              <w:rPr>
                <w:rFonts w:hint="default" w:ascii="Times New Roman" w:hAnsi="Times New Roman" w:eastAsia="方正仿宋简体" w:cs="Times New Roman"/>
                <w:color w:val="auto"/>
                <w:sz w:val="24"/>
                <w:szCs w:val="24"/>
              </w:rPr>
              <w:t>于自然资源主管部门监督检查的规定。土地管理监督检查人员应当熟悉土地管理法律</w:t>
            </w:r>
            <w:r>
              <w:rPr>
                <w:rFonts w:hint="default" w:ascii="Times New Roman" w:hAnsi="Times New Roman" w:eastAsia="方正仿宋简体" w:cs="Times New Roman"/>
                <w:color w:val="auto"/>
                <w:spacing w:val="-1"/>
                <w:sz w:val="24"/>
                <w:szCs w:val="24"/>
              </w:rPr>
              <w:t>、法规，忠于职守、秉公执法。</w:t>
            </w:r>
          </w:p>
          <w:p w14:paraId="52BAA29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号）中“特色清单”的行政检查第</w:t>
            </w:r>
            <w:r>
              <w:rPr>
                <w:rFonts w:hint="default" w:ascii="Times New Roman" w:hAnsi="Times New Roman" w:eastAsia="方正仿宋简体" w:cs="Times New Roman"/>
                <w:color w:val="auto"/>
                <w:spacing w:val="-1"/>
                <w:sz w:val="24"/>
                <w:szCs w:val="24"/>
                <w:lang w:val="en-US" w:eastAsia="zh-CN"/>
              </w:rPr>
              <w:t>5项</w:t>
            </w:r>
          </w:p>
          <w:p w14:paraId="0ED5E82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 xml:space="preserve">  《四川达州市通川区双龙镇履行职责事项清单》中“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基本履职事项清单</w:t>
            </w:r>
            <w:r>
              <w:rPr>
                <w:rFonts w:hint="default" w:ascii="Times New Roman" w:hAnsi="Times New Roman" w:eastAsia="方正仿宋简体" w:cs="Times New Roman"/>
                <w:color w:val="auto"/>
                <w:spacing w:val="-1"/>
                <w:kern w:val="0"/>
                <w:sz w:val="24"/>
                <w:szCs w:val="24"/>
                <w:lang w:val="en-US" w:eastAsia="zh-CN" w:bidi="ar-SA"/>
              </w:rPr>
              <w:t>”的第70项</w:t>
            </w:r>
          </w:p>
        </w:tc>
        <w:tc>
          <w:tcPr>
            <w:tcW w:w="1187" w:type="dxa"/>
            <w:vAlign w:val="center"/>
          </w:tcPr>
          <w:p w14:paraId="3091AAC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5018B03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73D4D7A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赋权事项</w:t>
            </w:r>
          </w:p>
        </w:tc>
      </w:tr>
      <w:tr w14:paraId="6B65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E6A256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5B846DD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对塘库堰、沟渠、提灌站等小微型农田水利基础设施日常巡查</w:t>
            </w:r>
          </w:p>
        </w:tc>
        <w:tc>
          <w:tcPr>
            <w:tcW w:w="1600" w:type="dxa"/>
            <w:shd w:val="clear" w:color="auto" w:fill="auto"/>
            <w:vAlign w:val="center"/>
          </w:tcPr>
          <w:p w14:paraId="767BF2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17F0353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基本履职事项清单</w:t>
            </w:r>
            <w:r>
              <w:rPr>
                <w:rFonts w:hint="default" w:ascii="Times New Roman" w:hAnsi="Times New Roman" w:eastAsia="方正仿宋简体" w:cs="Times New Roman"/>
                <w:color w:val="auto"/>
                <w:spacing w:val="-1"/>
                <w:kern w:val="0"/>
                <w:sz w:val="24"/>
                <w:szCs w:val="24"/>
                <w:lang w:val="en-US" w:eastAsia="zh-CN" w:bidi="ar-SA"/>
              </w:rPr>
              <w:t>”的第44项</w:t>
            </w:r>
          </w:p>
        </w:tc>
        <w:tc>
          <w:tcPr>
            <w:tcW w:w="1187" w:type="dxa"/>
            <w:vAlign w:val="center"/>
          </w:tcPr>
          <w:p w14:paraId="736A11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59AEF0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14BCE1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基本履职事项</w:t>
            </w:r>
          </w:p>
        </w:tc>
      </w:tr>
      <w:tr w14:paraId="19DA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0934AB1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30FF46C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结合日常工作对非法安装卫星广播电视地面接收设施开展巡查</w:t>
            </w:r>
          </w:p>
        </w:tc>
        <w:tc>
          <w:tcPr>
            <w:tcW w:w="0" w:type="auto"/>
            <w:shd w:val="clear" w:color="auto" w:fill="auto"/>
            <w:vAlign w:val="center"/>
          </w:tcPr>
          <w:p w14:paraId="75B805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DACD5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”的第6项</w:t>
            </w:r>
          </w:p>
        </w:tc>
        <w:tc>
          <w:tcPr>
            <w:tcW w:w="1187" w:type="dxa"/>
            <w:vAlign w:val="center"/>
          </w:tcPr>
          <w:p w14:paraId="53D4585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2177A1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3642AD9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B6EE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06D1E2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4B4AD17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结合日常工作对殡葬领域开展巡查</w:t>
            </w:r>
          </w:p>
        </w:tc>
        <w:tc>
          <w:tcPr>
            <w:tcW w:w="0" w:type="auto"/>
            <w:shd w:val="clear" w:color="auto" w:fill="auto"/>
            <w:vAlign w:val="center"/>
          </w:tcPr>
          <w:p w14:paraId="73BBA82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3B71169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”的第8项</w:t>
            </w:r>
          </w:p>
        </w:tc>
        <w:tc>
          <w:tcPr>
            <w:tcW w:w="1187" w:type="dxa"/>
            <w:vAlign w:val="center"/>
          </w:tcPr>
          <w:p w14:paraId="54F369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5E6B9BD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2AA7E72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565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C3EB51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5D53F24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结合日常工作对供水单位和用水情况进行巡查</w:t>
            </w:r>
          </w:p>
        </w:tc>
        <w:tc>
          <w:tcPr>
            <w:tcW w:w="0" w:type="auto"/>
            <w:shd w:val="clear" w:color="auto" w:fill="auto"/>
            <w:vAlign w:val="center"/>
          </w:tcPr>
          <w:p w14:paraId="774576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5657D6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”的第13项</w:t>
            </w:r>
          </w:p>
        </w:tc>
        <w:tc>
          <w:tcPr>
            <w:tcW w:w="1187" w:type="dxa"/>
            <w:vAlign w:val="center"/>
          </w:tcPr>
          <w:p w14:paraId="4D34172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67DEBCB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100129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D3B1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3F6E211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46A12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对交付后的高标准农田管护利用、运行安全巡查</w:t>
            </w:r>
          </w:p>
        </w:tc>
        <w:tc>
          <w:tcPr>
            <w:tcW w:w="0" w:type="auto"/>
            <w:shd w:val="clear" w:color="auto" w:fill="auto"/>
            <w:vAlign w:val="center"/>
          </w:tcPr>
          <w:p w14:paraId="1B7727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C13EC8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”的第16项</w:t>
            </w:r>
          </w:p>
        </w:tc>
        <w:tc>
          <w:tcPr>
            <w:tcW w:w="1187" w:type="dxa"/>
            <w:vAlign w:val="center"/>
          </w:tcPr>
          <w:p w14:paraId="27D797B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165BD46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327C531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6FE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A82CAB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0B6FFD6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对已备案的设施农业用地开展巡查和全覆盖排查</w:t>
            </w:r>
          </w:p>
        </w:tc>
        <w:tc>
          <w:tcPr>
            <w:tcW w:w="0" w:type="auto"/>
            <w:shd w:val="clear" w:color="auto" w:fill="auto"/>
            <w:vAlign w:val="center"/>
          </w:tcPr>
          <w:p w14:paraId="6294A00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E157DB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”的第19项</w:t>
            </w:r>
          </w:p>
        </w:tc>
        <w:tc>
          <w:tcPr>
            <w:tcW w:w="1187" w:type="dxa"/>
            <w:vAlign w:val="center"/>
          </w:tcPr>
          <w:p w14:paraId="2244DC5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1CFCA4D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62A1A4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2549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C9E54F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FCE472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结合日常工作对动物疫病防控开展巡查</w:t>
            </w:r>
          </w:p>
        </w:tc>
        <w:tc>
          <w:tcPr>
            <w:tcW w:w="0" w:type="auto"/>
            <w:shd w:val="clear" w:color="auto" w:fill="auto"/>
            <w:vAlign w:val="center"/>
          </w:tcPr>
          <w:p w14:paraId="2B14EF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30A9B0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”的第20项</w:t>
            </w:r>
          </w:p>
        </w:tc>
        <w:tc>
          <w:tcPr>
            <w:tcW w:w="1187" w:type="dxa"/>
            <w:vAlign w:val="center"/>
          </w:tcPr>
          <w:p w14:paraId="6EEC8E5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6D08F5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1CE7C14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6A2BB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78D690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90FC3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结合日常工作开展校外培训机构巡查</w:t>
            </w:r>
          </w:p>
        </w:tc>
        <w:tc>
          <w:tcPr>
            <w:tcW w:w="0" w:type="auto"/>
            <w:shd w:val="clear" w:color="auto" w:fill="auto"/>
            <w:vAlign w:val="center"/>
          </w:tcPr>
          <w:p w14:paraId="5D3BF07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AABC95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”的第23项</w:t>
            </w:r>
          </w:p>
        </w:tc>
        <w:tc>
          <w:tcPr>
            <w:tcW w:w="1187" w:type="dxa"/>
            <w:vAlign w:val="center"/>
          </w:tcPr>
          <w:p w14:paraId="1DC5A61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5F60BE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342800A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B36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BF1DA2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338193A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配合开展校园周边安全宣传教育、安</w:t>
            </w:r>
          </w:p>
          <w:p w14:paraId="50CE30E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全检查和隐患排查</w:t>
            </w:r>
          </w:p>
        </w:tc>
        <w:tc>
          <w:tcPr>
            <w:tcW w:w="0" w:type="auto"/>
            <w:shd w:val="clear" w:color="auto" w:fill="auto"/>
            <w:vAlign w:val="center"/>
          </w:tcPr>
          <w:p w14:paraId="5B8D4F4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AA3C1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”的第26项</w:t>
            </w:r>
          </w:p>
        </w:tc>
        <w:tc>
          <w:tcPr>
            <w:tcW w:w="1187" w:type="dxa"/>
            <w:vAlign w:val="center"/>
          </w:tcPr>
          <w:p w14:paraId="21FADBE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7733B98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3901B74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0D361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0CA8321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6319E2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结合日常工作进行古树名木巡查</w:t>
            </w:r>
          </w:p>
        </w:tc>
        <w:tc>
          <w:tcPr>
            <w:tcW w:w="0" w:type="auto"/>
            <w:shd w:val="clear" w:color="auto" w:fill="auto"/>
            <w:vAlign w:val="center"/>
          </w:tcPr>
          <w:p w14:paraId="5EE4A3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93858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”的第28项</w:t>
            </w:r>
          </w:p>
        </w:tc>
        <w:tc>
          <w:tcPr>
            <w:tcW w:w="1187" w:type="dxa"/>
            <w:vAlign w:val="center"/>
          </w:tcPr>
          <w:p w14:paraId="2B91B9F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2DAF04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00399AF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22E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305C61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627FA2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结合日常工作开展耕地巡查、卫片图斑核</w:t>
            </w:r>
          </w:p>
          <w:p w14:paraId="47E71DC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查，</w:t>
            </w:r>
          </w:p>
        </w:tc>
        <w:tc>
          <w:tcPr>
            <w:tcW w:w="0" w:type="auto"/>
            <w:shd w:val="clear" w:color="auto" w:fill="auto"/>
            <w:vAlign w:val="center"/>
          </w:tcPr>
          <w:p w14:paraId="4DA4B55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6EDFB1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”的第31项</w:t>
            </w:r>
          </w:p>
        </w:tc>
        <w:tc>
          <w:tcPr>
            <w:tcW w:w="1187" w:type="dxa"/>
            <w:vAlign w:val="center"/>
          </w:tcPr>
          <w:p w14:paraId="5ED3E54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0E8984F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59CC1E7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F52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9C59D22">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B0BA1A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结合日常工作开展取用水日常检查</w:t>
            </w:r>
          </w:p>
        </w:tc>
        <w:tc>
          <w:tcPr>
            <w:tcW w:w="0" w:type="auto"/>
            <w:shd w:val="clear" w:color="auto" w:fill="auto"/>
            <w:vAlign w:val="center"/>
          </w:tcPr>
          <w:p w14:paraId="31E2F6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2EE448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”的第35项</w:t>
            </w:r>
          </w:p>
        </w:tc>
        <w:tc>
          <w:tcPr>
            <w:tcW w:w="1187" w:type="dxa"/>
            <w:vAlign w:val="center"/>
          </w:tcPr>
          <w:p w14:paraId="608E3D6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05F27D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3B84AFA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5832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9129426">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469420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对农村污水、农村黑臭水体、入河排</w:t>
            </w:r>
          </w:p>
          <w:p w14:paraId="70924A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污口等进行日常摸排巡查</w:t>
            </w:r>
          </w:p>
        </w:tc>
        <w:tc>
          <w:tcPr>
            <w:tcW w:w="0" w:type="auto"/>
            <w:shd w:val="clear" w:color="auto" w:fill="auto"/>
            <w:vAlign w:val="center"/>
          </w:tcPr>
          <w:p w14:paraId="1DDBF44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7D4F0A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”的第40项</w:t>
            </w:r>
          </w:p>
        </w:tc>
        <w:tc>
          <w:tcPr>
            <w:tcW w:w="1187" w:type="dxa"/>
            <w:vAlign w:val="center"/>
          </w:tcPr>
          <w:p w14:paraId="4EC35B1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57801B9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5874A9B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710F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AECC74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A9265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结合日常工作开展固体废物污染日常巡查</w:t>
            </w:r>
          </w:p>
        </w:tc>
        <w:tc>
          <w:tcPr>
            <w:tcW w:w="0" w:type="auto"/>
            <w:shd w:val="clear" w:color="auto" w:fill="auto"/>
            <w:vAlign w:val="center"/>
          </w:tcPr>
          <w:p w14:paraId="21BC1A0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D1B9EA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”的第41项</w:t>
            </w:r>
          </w:p>
        </w:tc>
        <w:tc>
          <w:tcPr>
            <w:tcW w:w="1187" w:type="dxa"/>
            <w:vAlign w:val="center"/>
          </w:tcPr>
          <w:p w14:paraId="71C1CA7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4F8546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3F8BB7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FF6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7B62257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3CF6E01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结合日常工作对扬尘（施工、道路）等大气污染源开展巡查</w:t>
            </w:r>
          </w:p>
        </w:tc>
        <w:tc>
          <w:tcPr>
            <w:tcW w:w="0" w:type="auto"/>
            <w:shd w:val="clear" w:color="auto" w:fill="auto"/>
            <w:vAlign w:val="center"/>
          </w:tcPr>
          <w:p w14:paraId="765BAF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CE3EB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”的第42项</w:t>
            </w:r>
          </w:p>
        </w:tc>
        <w:tc>
          <w:tcPr>
            <w:tcW w:w="1187" w:type="dxa"/>
            <w:vAlign w:val="center"/>
          </w:tcPr>
          <w:p w14:paraId="125543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68272C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0E7E22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EE5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2FCE4C76">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5130BAA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结合日常工作对土壤污染防治开展巡查</w:t>
            </w:r>
          </w:p>
        </w:tc>
        <w:tc>
          <w:tcPr>
            <w:tcW w:w="0" w:type="auto"/>
            <w:shd w:val="clear" w:color="auto" w:fill="auto"/>
            <w:vAlign w:val="center"/>
          </w:tcPr>
          <w:p w14:paraId="608427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5862514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”的第43项</w:t>
            </w:r>
          </w:p>
        </w:tc>
        <w:tc>
          <w:tcPr>
            <w:tcW w:w="1187" w:type="dxa"/>
            <w:vAlign w:val="center"/>
          </w:tcPr>
          <w:p w14:paraId="53F3C48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5B36AB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5BD776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6ABE3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ACB459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87F753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结合日常工作开展噪声污染防治日常巡查</w:t>
            </w:r>
          </w:p>
        </w:tc>
        <w:tc>
          <w:tcPr>
            <w:tcW w:w="0" w:type="auto"/>
            <w:shd w:val="clear" w:color="auto" w:fill="auto"/>
            <w:vAlign w:val="center"/>
          </w:tcPr>
          <w:p w14:paraId="091C3B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07D0E3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”的第44项</w:t>
            </w:r>
          </w:p>
        </w:tc>
        <w:tc>
          <w:tcPr>
            <w:tcW w:w="1187" w:type="dxa"/>
            <w:vAlign w:val="center"/>
          </w:tcPr>
          <w:p w14:paraId="6189232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064EB40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27D091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5849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104922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0005E42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对畜禽规模养殖污染防治开展排查</w:t>
            </w:r>
          </w:p>
        </w:tc>
        <w:tc>
          <w:tcPr>
            <w:tcW w:w="0" w:type="auto"/>
            <w:shd w:val="clear" w:color="auto" w:fill="auto"/>
            <w:vAlign w:val="center"/>
          </w:tcPr>
          <w:p w14:paraId="4B7744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BA360A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”的第46项</w:t>
            </w:r>
          </w:p>
        </w:tc>
        <w:tc>
          <w:tcPr>
            <w:tcW w:w="1187" w:type="dxa"/>
            <w:vAlign w:val="center"/>
          </w:tcPr>
          <w:p w14:paraId="3ADCE2F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31EDBD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23CBB44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0C45D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F19CD3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11C4A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开展房屋结构、外墙安全及地灾点房屋日常检查、巡查</w:t>
            </w:r>
          </w:p>
        </w:tc>
        <w:tc>
          <w:tcPr>
            <w:tcW w:w="0" w:type="auto"/>
            <w:shd w:val="clear" w:color="auto" w:fill="auto"/>
            <w:vAlign w:val="center"/>
          </w:tcPr>
          <w:p w14:paraId="483500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203408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”的第50项</w:t>
            </w:r>
          </w:p>
        </w:tc>
        <w:tc>
          <w:tcPr>
            <w:tcW w:w="1187" w:type="dxa"/>
            <w:vAlign w:val="center"/>
          </w:tcPr>
          <w:p w14:paraId="52E0289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694BD3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14AE8D5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59DA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4A2A1B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8D7158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结合日常工作开展“两违”（ 违法用地、违</w:t>
            </w:r>
          </w:p>
          <w:p w14:paraId="025FFF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法建设）巡查</w:t>
            </w:r>
          </w:p>
        </w:tc>
        <w:tc>
          <w:tcPr>
            <w:tcW w:w="0" w:type="auto"/>
            <w:shd w:val="clear" w:color="auto" w:fill="auto"/>
            <w:vAlign w:val="center"/>
          </w:tcPr>
          <w:p w14:paraId="1C3E386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F1E51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”的第51项</w:t>
            </w:r>
          </w:p>
        </w:tc>
        <w:tc>
          <w:tcPr>
            <w:tcW w:w="1187" w:type="dxa"/>
            <w:vAlign w:val="center"/>
          </w:tcPr>
          <w:p w14:paraId="75D4D8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50D7B95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1FA0512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DBDD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582721C2">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578D9C51">
            <w:pPr>
              <w:keepNext w:val="0"/>
              <w:keepLines w:val="0"/>
              <w:widowControl/>
              <w:suppressLineNumbers w:val="0"/>
              <w:jc w:val="center"/>
              <w:rPr>
                <w:rFonts w:hint="default" w:ascii="Times New Roman" w:hAnsi="Times New Roman" w:eastAsia="方正仿宋简体" w:cs="Times New Roman"/>
                <w:color w:val="auto"/>
                <w:kern w:val="2"/>
                <w:sz w:val="24"/>
                <w:szCs w:val="24"/>
                <w:lang w:val="en-US" w:eastAsia="zh-CN" w:bidi="ar-SA"/>
              </w:rPr>
            </w:pPr>
            <w:r>
              <w:rPr>
                <w:rFonts w:ascii="方正仿宋_GBK" w:hAnsi="方正仿宋_GBK" w:eastAsia="方正仿宋_GBK" w:cs="方正仿宋_GBK"/>
                <w:color w:val="auto"/>
                <w:kern w:val="0"/>
                <w:sz w:val="24"/>
                <w:szCs w:val="24"/>
                <w:lang w:val="en-US" w:eastAsia="zh-CN" w:bidi="ar"/>
              </w:rPr>
              <w:t>配合做好住宅电梯的隐患排查</w:t>
            </w:r>
          </w:p>
        </w:tc>
        <w:tc>
          <w:tcPr>
            <w:tcW w:w="0" w:type="auto"/>
            <w:shd w:val="clear" w:color="auto" w:fill="auto"/>
            <w:vAlign w:val="center"/>
          </w:tcPr>
          <w:p w14:paraId="361A0CA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C749B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w:t>
            </w:r>
            <w:r>
              <w:rPr>
                <w:rFonts w:hint="eastAsia" w:ascii="Times New Roman" w:hAnsi="Times New Roman" w:eastAsia="方正仿宋简体" w:cs="Times New Roman"/>
                <w:color w:val="auto"/>
                <w:spacing w:val="-1"/>
                <w:kern w:val="0"/>
                <w:sz w:val="24"/>
                <w:szCs w:val="24"/>
                <w:lang w:val="en-US" w:eastAsia="zh-CN" w:bidi="ar-SA"/>
              </w:rPr>
              <w:t>2</w:t>
            </w:r>
            <w:r>
              <w:rPr>
                <w:rFonts w:hint="default" w:ascii="Times New Roman" w:hAnsi="Times New Roman" w:eastAsia="方正仿宋简体" w:cs="Times New Roman"/>
                <w:color w:val="auto"/>
                <w:spacing w:val="-1"/>
                <w:kern w:val="0"/>
                <w:sz w:val="24"/>
                <w:szCs w:val="24"/>
                <w:lang w:val="en-US" w:eastAsia="zh-CN" w:bidi="ar-SA"/>
              </w:rPr>
              <w:t>项</w:t>
            </w:r>
          </w:p>
        </w:tc>
        <w:tc>
          <w:tcPr>
            <w:tcW w:w="1187" w:type="dxa"/>
            <w:shd w:val="clear" w:color="auto" w:fill="auto"/>
            <w:vAlign w:val="center"/>
          </w:tcPr>
          <w:p w14:paraId="36EA408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双龙镇人民政府</w:t>
            </w:r>
          </w:p>
        </w:tc>
        <w:tc>
          <w:tcPr>
            <w:tcW w:w="1053" w:type="dxa"/>
            <w:shd w:val="clear" w:color="auto" w:fill="auto"/>
            <w:vAlign w:val="center"/>
          </w:tcPr>
          <w:p w14:paraId="29F737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双龙镇人民政府</w:t>
            </w:r>
          </w:p>
        </w:tc>
        <w:tc>
          <w:tcPr>
            <w:tcW w:w="740" w:type="dxa"/>
            <w:shd w:val="clear" w:color="auto" w:fill="auto"/>
            <w:vAlign w:val="center"/>
          </w:tcPr>
          <w:p w14:paraId="0975AC2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配合履职事项</w:t>
            </w:r>
          </w:p>
        </w:tc>
      </w:tr>
      <w:tr w14:paraId="7C3F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42886A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322D52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配合开展寄递行业联合巡查</w:t>
            </w:r>
          </w:p>
        </w:tc>
        <w:tc>
          <w:tcPr>
            <w:tcW w:w="0" w:type="auto"/>
            <w:shd w:val="clear" w:color="auto" w:fill="auto"/>
            <w:vAlign w:val="center"/>
          </w:tcPr>
          <w:p w14:paraId="5B7D9F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DE1697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”的第57项</w:t>
            </w:r>
          </w:p>
        </w:tc>
        <w:tc>
          <w:tcPr>
            <w:tcW w:w="1187" w:type="dxa"/>
            <w:vAlign w:val="center"/>
          </w:tcPr>
          <w:p w14:paraId="133441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6417244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5C7A0A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D326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B61185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2925B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结合日常工作开展文物保护巡查</w:t>
            </w:r>
          </w:p>
        </w:tc>
        <w:tc>
          <w:tcPr>
            <w:tcW w:w="0" w:type="auto"/>
            <w:shd w:val="clear" w:color="auto" w:fill="auto"/>
            <w:vAlign w:val="center"/>
          </w:tcPr>
          <w:p w14:paraId="41F3388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363E3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”的第59项</w:t>
            </w:r>
          </w:p>
        </w:tc>
        <w:tc>
          <w:tcPr>
            <w:tcW w:w="1187" w:type="dxa"/>
            <w:vAlign w:val="center"/>
          </w:tcPr>
          <w:p w14:paraId="27221B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5578F8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6643E63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6A3DF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54643C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2C5A8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 xml:space="preserve">  配合对民宿行业治安、消防等各项安全状况开展日常巡查</w:t>
            </w:r>
          </w:p>
        </w:tc>
        <w:tc>
          <w:tcPr>
            <w:tcW w:w="0" w:type="auto"/>
            <w:shd w:val="clear" w:color="auto" w:fill="auto"/>
            <w:vAlign w:val="center"/>
          </w:tcPr>
          <w:p w14:paraId="529C99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8253A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”的第60项</w:t>
            </w:r>
          </w:p>
        </w:tc>
        <w:tc>
          <w:tcPr>
            <w:tcW w:w="1187" w:type="dxa"/>
            <w:vAlign w:val="center"/>
          </w:tcPr>
          <w:p w14:paraId="201AEB7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6A1687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199C6CF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0E2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A4204D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AB2222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结合日常工作开展充电基础设施安全巡查</w:t>
            </w:r>
          </w:p>
        </w:tc>
        <w:tc>
          <w:tcPr>
            <w:tcW w:w="0" w:type="auto"/>
            <w:shd w:val="clear" w:color="auto" w:fill="auto"/>
            <w:vAlign w:val="center"/>
          </w:tcPr>
          <w:p w14:paraId="07CDE8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2680B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”的第63项</w:t>
            </w:r>
          </w:p>
        </w:tc>
        <w:tc>
          <w:tcPr>
            <w:tcW w:w="1187" w:type="dxa"/>
            <w:vAlign w:val="center"/>
          </w:tcPr>
          <w:p w14:paraId="599900D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3374AEB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6E3A437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0A762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6B8CB8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BE0542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结合日常工作开展电动车“飞线充电”巡查</w:t>
            </w:r>
          </w:p>
        </w:tc>
        <w:tc>
          <w:tcPr>
            <w:tcW w:w="0" w:type="auto"/>
            <w:shd w:val="clear" w:color="auto" w:fill="auto"/>
            <w:vAlign w:val="center"/>
          </w:tcPr>
          <w:p w14:paraId="28A707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AC77EF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”的第64项</w:t>
            </w:r>
          </w:p>
        </w:tc>
        <w:tc>
          <w:tcPr>
            <w:tcW w:w="1187" w:type="dxa"/>
            <w:vAlign w:val="center"/>
          </w:tcPr>
          <w:p w14:paraId="305475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3E0A6C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7CA01B0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ED93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5169BFF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0E9F2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配合开展燃气安全工作督导、检查和安全隐患排查</w:t>
            </w:r>
          </w:p>
        </w:tc>
        <w:tc>
          <w:tcPr>
            <w:tcW w:w="0" w:type="auto"/>
            <w:shd w:val="clear" w:color="auto" w:fill="auto"/>
            <w:vAlign w:val="center"/>
          </w:tcPr>
          <w:p w14:paraId="3FA88E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9073F4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”的第66项</w:t>
            </w:r>
          </w:p>
        </w:tc>
        <w:tc>
          <w:tcPr>
            <w:tcW w:w="1187" w:type="dxa"/>
            <w:vAlign w:val="center"/>
          </w:tcPr>
          <w:p w14:paraId="5AC7CAE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03DAD03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18293D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043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AFB21F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425329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结合日常工作开展危化、粉尘涉爆等安全隐患排查</w:t>
            </w:r>
          </w:p>
        </w:tc>
        <w:tc>
          <w:tcPr>
            <w:tcW w:w="0" w:type="auto"/>
            <w:shd w:val="clear" w:color="auto" w:fill="auto"/>
            <w:vAlign w:val="center"/>
          </w:tcPr>
          <w:p w14:paraId="071C95D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7AA6C0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”的第67项</w:t>
            </w:r>
          </w:p>
        </w:tc>
        <w:tc>
          <w:tcPr>
            <w:tcW w:w="1187" w:type="dxa"/>
            <w:vAlign w:val="center"/>
          </w:tcPr>
          <w:p w14:paraId="0750E5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657CFDB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68225E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AF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541813A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22269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配合开展烟花爆竹非法生产、经营、储存行为的巡查排查</w:t>
            </w:r>
          </w:p>
        </w:tc>
        <w:tc>
          <w:tcPr>
            <w:tcW w:w="0" w:type="auto"/>
            <w:shd w:val="clear" w:color="auto" w:fill="auto"/>
            <w:vAlign w:val="center"/>
          </w:tcPr>
          <w:p w14:paraId="51C480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2311C8E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”的第68项</w:t>
            </w:r>
          </w:p>
        </w:tc>
        <w:tc>
          <w:tcPr>
            <w:tcW w:w="1187" w:type="dxa"/>
            <w:vAlign w:val="center"/>
          </w:tcPr>
          <w:p w14:paraId="1CEFD7E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32E45E2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0C4699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603C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3B989D7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0229125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配合开展有限空间作业安全摸排</w:t>
            </w:r>
          </w:p>
        </w:tc>
        <w:tc>
          <w:tcPr>
            <w:tcW w:w="0" w:type="auto"/>
            <w:shd w:val="clear" w:color="auto" w:fill="auto"/>
            <w:vAlign w:val="center"/>
          </w:tcPr>
          <w:p w14:paraId="35E7B2E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1401029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w:t>
            </w:r>
            <w:r>
              <w:rPr>
                <w:rFonts w:hint="eastAsia" w:ascii="Times New Roman" w:hAnsi="Times New Roman" w:eastAsia="方正仿宋简体" w:cs="Times New Roman"/>
                <w:color w:val="auto"/>
                <w:spacing w:val="-1"/>
                <w:kern w:val="0"/>
                <w:sz w:val="24"/>
                <w:szCs w:val="24"/>
                <w:lang w:val="en-US" w:eastAsia="zh-CN" w:bidi="ar-SA"/>
              </w:rPr>
              <w:t>73</w:t>
            </w:r>
            <w:r>
              <w:rPr>
                <w:rFonts w:hint="default" w:ascii="Times New Roman" w:hAnsi="Times New Roman" w:eastAsia="方正仿宋简体" w:cs="Times New Roman"/>
                <w:color w:val="auto"/>
                <w:spacing w:val="-1"/>
                <w:kern w:val="0"/>
                <w:sz w:val="24"/>
                <w:szCs w:val="24"/>
                <w:lang w:val="en-US" w:eastAsia="zh-CN" w:bidi="ar-SA"/>
              </w:rPr>
              <w:t>项</w:t>
            </w:r>
          </w:p>
        </w:tc>
        <w:tc>
          <w:tcPr>
            <w:tcW w:w="1187" w:type="dxa"/>
            <w:vAlign w:val="center"/>
          </w:tcPr>
          <w:p w14:paraId="40FFD72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47FAC4C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5A94A1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A836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280BC2E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493E7ACC">
            <w:pPr>
              <w:keepNext w:val="0"/>
              <w:keepLines w:val="0"/>
              <w:pageBreakBefore w:val="0"/>
              <w:widowControl w:val="0"/>
              <w:kinsoku/>
              <w:wordWrap/>
              <w:overflowPunct/>
              <w:topLinePunct w:val="0"/>
              <w:autoSpaceDE/>
              <w:autoSpaceDN/>
              <w:bidi w:val="0"/>
              <w:spacing w:line="360" w:lineRule="exact"/>
              <w:jc w:val="center"/>
              <w:textAlignment w:val="auto"/>
              <w:rPr>
                <w:rFonts w:hint="default" w:ascii="方正仿宋_GBK" w:hAnsi="方正仿宋_GBK" w:eastAsia="方正仿宋_GBK" w:cs="方正仿宋_GBK"/>
                <w:color w:val="auto"/>
                <w:kern w:val="0"/>
                <w:sz w:val="24"/>
                <w:szCs w:val="24"/>
                <w:lang w:val="en-US" w:eastAsia="zh-CN" w:bidi="ar"/>
              </w:rPr>
            </w:pPr>
            <w:r>
              <w:rPr>
                <w:rFonts w:hint="eastAsia" w:ascii="Times New Roman" w:hAnsi="Times New Roman" w:eastAsia="方正仿宋简体" w:cs="Times New Roman"/>
                <w:color w:val="auto"/>
                <w:kern w:val="2"/>
                <w:sz w:val="24"/>
                <w:szCs w:val="24"/>
                <w:lang w:val="en-US" w:eastAsia="zh-CN" w:bidi="ar-SA"/>
              </w:rPr>
              <w:t>涉及公共卫生事件（含传染病防控）时，加强人员追踪，摸排人员往来情况</w:t>
            </w:r>
          </w:p>
        </w:tc>
        <w:tc>
          <w:tcPr>
            <w:tcW w:w="0" w:type="auto"/>
            <w:shd w:val="clear" w:color="auto" w:fill="auto"/>
            <w:vAlign w:val="center"/>
          </w:tcPr>
          <w:p w14:paraId="2035DF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2E4BDBF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w:t>
            </w:r>
            <w:r>
              <w:rPr>
                <w:rFonts w:hint="eastAsia" w:ascii="Times New Roman" w:hAnsi="Times New Roman" w:eastAsia="方正仿宋简体" w:cs="Times New Roman"/>
                <w:color w:val="auto"/>
                <w:spacing w:val="-1"/>
                <w:kern w:val="0"/>
                <w:sz w:val="24"/>
                <w:szCs w:val="24"/>
                <w:lang w:val="en-US" w:eastAsia="zh-CN" w:bidi="ar-SA"/>
              </w:rPr>
              <w:t>74</w:t>
            </w:r>
            <w:r>
              <w:rPr>
                <w:rFonts w:hint="default" w:ascii="Times New Roman" w:hAnsi="Times New Roman" w:eastAsia="方正仿宋简体" w:cs="Times New Roman"/>
                <w:color w:val="auto"/>
                <w:spacing w:val="-1"/>
                <w:kern w:val="0"/>
                <w:sz w:val="24"/>
                <w:szCs w:val="24"/>
                <w:lang w:val="en-US" w:eastAsia="zh-CN" w:bidi="ar-SA"/>
              </w:rPr>
              <w:t>项</w:t>
            </w:r>
          </w:p>
        </w:tc>
        <w:tc>
          <w:tcPr>
            <w:tcW w:w="1187" w:type="dxa"/>
            <w:vAlign w:val="center"/>
          </w:tcPr>
          <w:p w14:paraId="46EDF4A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31070A1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7A47D2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10A4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34FC03A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322DD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对重大突发事件、热点敏感问题、新闻舆情开展前期调查核实</w:t>
            </w:r>
          </w:p>
        </w:tc>
        <w:tc>
          <w:tcPr>
            <w:tcW w:w="0" w:type="auto"/>
            <w:shd w:val="clear" w:color="auto" w:fill="auto"/>
            <w:vAlign w:val="center"/>
          </w:tcPr>
          <w:p w14:paraId="0332F5A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7A7B3A0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w:t>
            </w:r>
            <w:r>
              <w:rPr>
                <w:rFonts w:hint="eastAsia" w:ascii="Times New Roman" w:hAnsi="Times New Roman" w:eastAsia="方正仿宋简体" w:cs="Times New Roman"/>
                <w:color w:val="auto"/>
                <w:spacing w:val="-1"/>
                <w:kern w:val="0"/>
                <w:sz w:val="24"/>
                <w:szCs w:val="24"/>
                <w:lang w:val="en-US" w:eastAsia="zh-CN" w:bidi="ar-SA"/>
              </w:rPr>
              <w:t>75</w:t>
            </w:r>
            <w:r>
              <w:rPr>
                <w:rFonts w:hint="default" w:ascii="Times New Roman" w:hAnsi="Times New Roman" w:eastAsia="方正仿宋简体" w:cs="Times New Roman"/>
                <w:color w:val="auto"/>
                <w:spacing w:val="-1"/>
                <w:kern w:val="0"/>
                <w:sz w:val="24"/>
                <w:szCs w:val="24"/>
                <w:lang w:val="en-US" w:eastAsia="zh-CN" w:bidi="ar-SA"/>
              </w:rPr>
              <w:t>项</w:t>
            </w:r>
          </w:p>
        </w:tc>
        <w:tc>
          <w:tcPr>
            <w:tcW w:w="1187" w:type="dxa"/>
            <w:vAlign w:val="center"/>
          </w:tcPr>
          <w:p w14:paraId="4B37883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60820D3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064E359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D948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76B836D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01190B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结合日常工作对传销、违规直销开展巡查</w:t>
            </w:r>
          </w:p>
        </w:tc>
        <w:tc>
          <w:tcPr>
            <w:tcW w:w="0" w:type="auto"/>
            <w:shd w:val="clear" w:color="auto" w:fill="auto"/>
            <w:vAlign w:val="center"/>
          </w:tcPr>
          <w:p w14:paraId="705DFC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E13B68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《四川达州市通川区双龙镇履行职责事项清单》中“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”的第80项</w:t>
            </w:r>
          </w:p>
        </w:tc>
        <w:tc>
          <w:tcPr>
            <w:tcW w:w="1187" w:type="dxa"/>
            <w:vAlign w:val="center"/>
          </w:tcPr>
          <w:p w14:paraId="59B870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1053" w:type="dxa"/>
            <w:vAlign w:val="center"/>
          </w:tcPr>
          <w:p w14:paraId="63728A1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双龙镇人民政府</w:t>
            </w:r>
          </w:p>
        </w:tc>
        <w:tc>
          <w:tcPr>
            <w:tcW w:w="740" w:type="dxa"/>
            <w:vAlign w:val="center"/>
          </w:tcPr>
          <w:p w14:paraId="70A5E89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bl>
    <w:p w14:paraId="0145B0A9"/>
    <w:p w14:paraId="65A4B2E2">
      <w:pPr>
        <w:ind w:firstLine="480" w:firstLineChars="200"/>
        <w:rPr>
          <w:color w:val="auto"/>
        </w:rPr>
      </w:pPr>
      <w:r>
        <w:rPr>
          <w:rFonts w:hint="eastAsia" w:ascii="Times New Roman" w:hAnsi="Times New Roman" w:cs="Times New Roman"/>
          <w:i w:val="0"/>
          <w:iCs w:val="0"/>
          <w:caps w:val="0"/>
          <w:color w:val="auto"/>
          <w:spacing w:val="0"/>
          <w:sz w:val="24"/>
          <w:szCs w:val="24"/>
          <w:shd w:val="clear" w:color="auto" w:fill="FFFFFF"/>
          <w:lang w:val="en-US" w:eastAsia="zh-CN"/>
        </w:rPr>
        <w:t>注：本目录清单中行政处罚和行政强制权力事项包含了相应的行政检查权力事项。</w:t>
      </w:r>
    </w:p>
    <w:p w14:paraId="594EAC97"/>
    <w:sectPr>
      <w:headerReference r:id="rId3" w:type="default"/>
      <w:footerReference r:id="rId4" w:type="default"/>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3F80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1DBBF1">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51DBBF1">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E3AFD">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9E477"/>
    <w:multiLevelType w:val="singleLevel"/>
    <w:tmpl w:val="97D9E477"/>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B2C87"/>
    <w:rsid w:val="005E3D8A"/>
    <w:rsid w:val="05BE35CF"/>
    <w:rsid w:val="07797F74"/>
    <w:rsid w:val="077E53D2"/>
    <w:rsid w:val="07E84ABD"/>
    <w:rsid w:val="0B0B50F3"/>
    <w:rsid w:val="0B2C27A3"/>
    <w:rsid w:val="0C941022"/>
    <w:rsid w:val="111E1B8C"/>
    <w:rsid w:val="13CA1B57"/>
    <w:rsid w:val="17F733BC"/>
    <w:rsid w:val="1B7969BB"/>
    <w:rsid w:val="1BBC3E22"/>
    <w:rsid w:val="207F29F9"/>
    <w:rsid w:val="2837711A"/>
    <w:rsid w:val="2AB234CA"/>
    <w:rsid w:val="2D8C5446"/>
    <w:rsid w:val="2E3005D3"/>
    <w:rsid w:val="31F528CF"/>
    <w:rsid w:val="333F17C2"/>
    <w:rsid w:val="3C357E8F"/>
    <w:rsid w:val="3D424848"/>
    <w:rsid w:val="3E5D4EB3"/>
    <w:rsid w:val="3F8956ED"/>
    <w:rsid w:val="40133CD7"/>
    <w:rsid w:val="429C3B7D"/>
    <w:rsid w:val="44463DA1"/>
    <w:rsid w:val="448B2C87"/>
    <w:rsid w:val="460D10DC"/>
    <w:rsid w:val="46C64100"/>
    <w:rsid w:val="4A414029"/>
    <w:rsid w:val="4A8E2FE6"/>
    <w:rsid w:val="4D5E2D84"/>
    <w:rsid w:val="4F1E3C7B"/>
    <w:rsid w:val="4F9667B6"/>
    <w:rsid w:val="4FD9141F"/>
    <w:rsid w:val="55E740E2"/>
    <w:rsid w:val="5A376945"/>
    <w:rsid w:val="654B4B45"/>
    <w:rsid w:val="685D5B46"/>
    <w:rsid w:val="6D955854"/>
    <w:rsid w:val="71E80AEC"/>
    <w:rsid w:val="73C33042"/>
    <w:rsid w:val="762915ED"/>
    <w:rsid w:val="76DE071A"/>
    <w:rsid w:val="77174ADA"/>
    <w:rsid w:val="78613FBD"/>
    <w:rsid w:val="7E9D2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 w:type="table" w:customStyle="1" w:styleId="7">
    <w:name w:val="Table Normal"/>
    <w:basedOn w:val="4"/>
    <w:qFormat/>
    <w:uiPriority w:val="0"/>
    <w:rPr>
      <w:rFonts w:ascii="Times New Roman" w:hAnsi="Times New Roman"/>
    </w:rPr>
    <w:tblPr>
      <w:tblCellMar>
        <w:left w:w="0" w:type="dxa"/>
        <w:right w:w="0" w:type="dxa"/>
      </w:tblCellMar>
    </w:tblPr>
  </w:style>
  <w:style w:type="paragraph" w:customStyle="1" w:styleId="8">
    <w:name w:val="Table Text"/>
    <w:basedOn w:val="1"/>
    <w:semiHidden/>
    <w:qFormat/>
    <w:uiPriority w:val="0"/>
    <w:pPr>
      <w:widowControl/>
      <w:kinsoku w:val="0"/>
      <w:autoSpaceDE w:val="0"/>
      <w:autoSpaceDN w:val="0"/>
      <w:adjustRightInd w:val="0"/>
      <w:snapToGrid w:val="0"/>
      <w:jc w:val="left"/>
      <w:textAlignment w:val="baseline"/>
    </w:pPr>
    <w:rPr>
      <w:rFonts w:ascii="Arial" w:hAnsi="Arial" w:cs="Arial"/>
      <w:color w:val="000000"/>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10216</Words>
  <Characters>10305</Characters>
  <Lines>0</Lines>
  <Paragraphs>0</Paragraphs>
  <TotalTime>3</TotalTime>
  <ScaleCrop>false</ScaleCrop>
  <LinksUpToDate>false</LinksUpToDate>
  <CharactersWithSpaces>10459</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2025-08-11T05:57:00Z</dcterms:created>
  <dc:creator>繁花似锦</dc:creator>
  <cp:lastModifiedBy>繁花似锦</cp:lastModifiedBy>
  <dcterms:modified xsi:type="dcterms:W3CDTF">2025-10-09T01:45:57Z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BCF78E64257248FC99E4C23A44185851_13</vt:lpwstr>
  </property>
  <property fmtid="{D5CDD505-2E9C-101B-9397-08002B2CF9AE}" pid="4" name="KSOTemplateDocerSaveRecord">
    <vt:lpwstr>eyJoZGlkIjoiZTBiNzFjYjhjZTQ1MDU0OGIwMDA2ZjM1ZmNjNDgzN2MiLCJ1c2VySWQiOiI0Mjc2NzQwNTgifQ==</vt:lpwstr>
  </property>
</Properties>
</file>